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个人所得税预扣率表一</w:t>
      </w:r>
    </w:p>
    <w:p>
      <w:pPr>
        <w:widowControl/>
        <w:shd w:val="clear" w:color="auto" w:fill="FFFFFF"/>
        <w:spacing w:line="0" w:lineRule="atLeast"/>
        <w:jc w:val="center"/>
        <w:rPr>
          <w:rFonts w:hint="eastAsia"/>
        </w:rPr>
      </w:pPr>
      <w:r>
        <w:rPr>
          <w:rFonts w:hint="eastAsia" w:ascii="楷体_GB2312" w:hAnsi="黑体" w:eastAsia="楷体_GB2312" w:cs="宋体"/>
          <w:kern w:val="0"/>
          <w:szCs w:val="21"/>
        </w:rPr>
        <w:t>（居民个人工资、薪金所得预扣预缴适用）</w:t>
      </w:r>
    </w:p>
    <w:tbl>
      <w:tblPr>
        <w:tblStyle w:val="3"/>
        <w:tblW w:w="89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667"/>
        <w:gridCol w:w="1365"/>
        <w:gridCol w:w="20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级数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累计预扣预缴应纳税所得额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预扣率（%）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速算扣除数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不超过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36000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超过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36000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元至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144000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元的部分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2520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超过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144000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元至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300000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元的部分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16920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超过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300000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元至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420000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元的部分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31920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超过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420000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元至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660000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元的部分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52920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超过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660000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元至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960000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元的部分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85920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超过</w:t>
            </w: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960000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Cs w:val="21"/>
              </w:rPr>
              <w:t>元的部分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Cs w:val="21"/>
              </w:rPr>
              <w:t>181920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方正小标宋简体" w:eastAsia="方正小标宋简体"/>
          <w:sz w:val="36"/>
          <w:szCs w:val="36"/>
        </w:rPr>
        <w:t>个人所得税预扣率表二</w:t>
      </w:r>
    </w:p>
    <w:p>
      <w:pPr>
        <w:widowControl/>
        <w:shd w:val="clear" w:color="auto" w:fill="FFFFFF"/>
        <w:spacing w:line="0" w:lineRule="atLeast"/>
        <w:jc w:val="center"/>
        <w:rPr>
          <w:rFonts w:hint="eastAsia"/>
        </w:rPr>
      </w:pPr>
      <w:r>
        <w:rPr>
          <w:rFonts w:hint="eastAsia" w:ascii="楷体_GB2312" w:hAnsi="黑体" w:eastAsia="楷体_GB2312" w:cs="宋体"/>
          <w:kern w:val="0"/>
          <w:szCs w:val="21"/>
        </w:rPr>
        <w:t>（居民个人劳务报酬所得预扣预缴适用）</w:t>
      </w:r>
    </w:p>
    <w:tbl>
      <w:tblPr>
        <w:tblStyle w:val="3"/>
        <w:tblW w:w="8912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623"/>
        <w:gridCol w:w="1440"/>
        <w:gridCol w:w="19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级数</w:t>
            </w:r>
          </w:p>
        </w:tc>
        <w:tc>
          <w:tcPr>
            <w:tcW w:w="4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预扣预缴应纳税所得额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预扣率（%）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速算扣除数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不超过20000元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超过20000元至50000元的部分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超过50000元的部分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40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7000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方正小标宋简体" w:hAnsi="黑体" w:eastAsia="方正小标宋简体" w:cs="宋体"/>
          <w:kern w:val="0"/>
          <w:sz w:val="36"/>
          <w:szCs w:val="36"/>
        </w:rPr>
      </w:pPr>
    </w:p>
    <w:p>
      <w:pPr>
        <w:widowControl/>
        <w:shd w:val="clear" w:color="auto" w:fill="FFFFFF"/>
        <w:spacing w:line="0" w:lineRule="atLeast"/>
        <w:jc w:val="center"/>
        <w:rPr>
          <w:rFonts w:hint="eastAsia"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个人所得税税率表三</w:t>
      </w:r>
    </w:p>
    <w:p>
      <w:pPr>
        <w:widowControl/>
        <w:shd w:val="clear" w:color="auto" w:fill="FFFFFF"/>
        <w:spacing w:line="0" w:lineRule="atLeast"/>
        <w:jc w:val="center"/>
        <w:rPr>
          <w:rFonts w:hint="eastAsia" w:ascii="黑体" w:hAnsi="黑体" w:eastAsia="黑体" w:cs="宋体"/>
          <w:b/>
          <w:kern w:val="0"/>
          <w:sz w:val="28"/>
          <w:szCs w:val="28"/>
        </w:rPr>
      </w:pPr>
      <w:r>
        <w:rPr>
          <w:rFonts w:hint="eastAsia" w:ascii="楷体_GB2312" w:hAnsi="黑体" w:eastAsia="楷体_GB2312" w:cs="宋体"/>
          <w:kern w:val="0"/>
          <w:szCs w:val="21"/>
        </w:rPr>
        <w:t>（非居民个人工资、薪金所得，劳务报酬所得，稿酬所得，特许权使用费所得适用）</w:t>
      </w:r>
    </w:p>
    <w:tbl>
      <w:tblPr>
        <w:tblStyle w:val="3"/>
        <w:tblW w:w="900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680"/>
        <w:gridCol w:w="144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级数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应纳税所得额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税率（%）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速算扣除数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不超过3000元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超过3000元至12000元的部分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超过12000元至25000元的部分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20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超过25000元至35000元的部分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25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90" w:hRule="atLeast"/>
        </w:trPr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超过35000元至55000元的部分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30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超过55000元至80000元的部分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35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超过80000元的部分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45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15160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B5D02"/>
    <w:rsid w:val="19EA6AA5"/>
    <w:rsid w:val="442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2019-04-10T01:01:00Z</dcterms:created>
  <dc:creator>Administrator</dc:creator>
  <cp:lastModifiedBy>Administrator</cp:lastModifiedBy>
  <dcterms:modified xsi:type="dcterms:W3CDTF">2019-04-10T01:01:45Z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