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360" w:lineRule="auto"/>
        <w:jc w:val="center"/>
        <w:rPr>
          <w:rFonts w:hint="eastAsia" w:ascii="黑体" w:hAnsi="黑体" w:eastAsia="黑体"/>
          <w:kern w:val="0"/>
          <w:sz w:val="36"/>
          <w:szCs w:val="36"/>
        </w:rPr>
      </w:pPr>
      <w:r>
        <w:rPr>
          <w:rFonts w:hint="eastAsia" w:ascii="黑体" w:hAnsi="黑体" w:eastAsia="黑体"/>
          <w:kern w:val="0"/>
          <w:sz w:val="36"/>
          <w:szCs w:val="36"/>
        </w:rPr>
        <w:t xml:space="preserve"> </w:t>
      </w:r>
      <w:bookmarkStart w:id="0" w:name="_GoBack"/>
      <w:r>
        <w:rPr>
          <w:rFonts w:hint="eastAsia" w:ascii="黑体" w:hAnsi="黑体" w:eastAsia="黑体"/>
          <w:kern w:val="0"/>
          <w:sz w:val="36"/>
          <w:szCs w:val="36"/>
        </w:rPr>
        <w:t>行政事业单位内部控制报告管理制度（试行）</w:t>
      </w:r>
      <w:bookmarkEnd w:id="0"/>
    </w:p>
    <w:p>
      <w:pPr>
        <w:widowControl/>
        <w:spacing w:after="200" w:line="360" w:lineRule="auto"/>
        <w:jc w:val="center"/>
        <w:rPr>
          <w:rFonts w:hint="eastAsia" w:ascii="宋体" w:hAnsi="宋体" w:eastAsia="宋体" w:cs="方正仿宋简体"/>
          <w:kern w:val="0"/>
          <w:sz w:val="28"/>
          <w:szCs w:val="28"/>
          <w:lang w:val="en-US" w:eastAsia="zh-CN" w:bidi="ar-SA"/>
        </w:rPr>
      </w:pPr>
      <w:r>
        <w:rPr>
          <w:rFonts w:hint="eastAsia" w:ascii="宋体" w:hAnsi="宋体" w:eastAsia="宋体" w:cs="方正仿宋简体"/>
          <w:kern w:val="0"/>
          <w:sz w:val="28"/>
          <w:szCs w:val="28"/>
          <w:lang w:val="en-US" w:eastAsia="zh-CN" w:bidi="ar-SA"/>
        </w:rPr>
        <w:t>财会(2017)1号</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第一章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总  则</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为贯彻落实党的十八届四中全会通过的《中共中央关于全面推进依法治国若干重大问题的决定》的有关精神，进一步加强行政事业单位内部控制建设，规范行政事业单位内部控制报告的编制、报送、使用及报告信息质量的监督检查等工作，</w:t>
      </w:r>
      <w:r>
        <w:rPr>
          <w:rFonts w:ascii="宋体" w:hAnsi="宋体" w:eastAsia="宋体" w:cs="方正仿宋简体"/>
          <w:kern w:val="0"/>
          <w:sz w:val="28"/>
          <w:szCs w:val="28"/>
        </w:rPr>
        <w:t>促进</w:t>
      </w:r>
      <w:r>
        <w:rPr>
          <w:rFonts w:hint="eastAsia" w:ascii="宋体" w:hAnsi="宋体" w:eastAsia="宋体" w:cs="方正仿宋简体"/>
          <w:kern w:val="0"/>
          <w:sz w:val="28"/>
          <w:szCs w:val="28"/>
        </w:rPr>
        <w:t>行政事业单位内部控制</w:t>
      </w:r>
      <w:r>
        <w:rPr>
          <w:rFonts w:ascii="宋体" w:hAnsi="宋体" w:eastAsia="宋体" w:cs="方正仿宋简体"/>
          <w:kern w:val="0"/>
          <w:sz w:val="28"/>
          <w:szCs w:val="28"/>
        </w:rPr>
        <w:t>信息公开</w:t>
      </w:r>
      <w:r>
        <w:rPr>
          <w:rFonts w:hint="eastAsia" w:ascii="宋体" w:hAnsi="宋体" w:eastAsia="宋体" w:cs="方正仿宋简体"/>
          <w:kern w:val="0"/>
          <w:sz w:val="28"/>
          <w:szCs w:val="28"/>
        </w:rPr>
        <w:t>，提高行政事业单位内部控制报告质量，根据《财政部</w:t>
      </w:r>
      <w:r>
        <w:rPr>
          <w:rFonts w:ascii="宋体" w:hAnsi="宋体" w:eastAsia="宋体" w:cs="方正仿宋简体"/>
          <w:kern w:val="0"/>
          <w:sz w:val="28"/>
          <w:szCs w:val="28"/>
        </w:rPr>
        <w:t>关于全面推进行政事业单位内部控制建设的指导意见</w:t>
      </w:r>
      <w:r>
        <w:rPr>
          <w:rFonts w:hint="eastAsia" w:ascii="宋体" w:hAnsi="宋体" w:eastAsia="宋体" w:cs="方正仿宋简体"/>
          <w:kern w:val="0"/>
          <w:sz w:val="28"/>
          <w:szCs w:val="28"/>
        </w:rPr>
        <w:t>》（财会〔2015〕24号，以下简称《指导意见》）和《行政事业单位内部控制规范（试行）》（财会〔2012〕21号，以下简称《单位内部控制规范》）等，制定本制度。</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本制度适用于所有行政事业单位。</w:t>
      </w:r>
    </w:p>
    <w:p>
      <w:pPr>
        <w:pStyle w:val="7"/>
        <w:autoSpaceDE w:val="0"/>
        <w:autoSpaceDN w:val="0"/>
        <w:adjustRightInd w:val="0"/>
        <w:ind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本制度所称行政事业单位包括各级党的机关、人大机关、行政机关、政协机关、审判机关、检察机关、各民主党派机关、人民团体和事业单位。</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本制度所称内部控制报告，是指行政事业单位在年度终了，结合本单位实际情况，依据《指导意见》和《单位内部控制规范》，按照本制度规定编制的能够综合反映本单位内部控制建立与实施情况的总结性文件。</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行政事业单位编制内部控制报告应当遵循下列原则：</w:t>
      </w:r>
    </w:p>
    <w:p>
      <w:pPr>
        <w:pStyle w:val="7"/>
        <w:numPr>
          <w:ilvl w:val="0"/>
          <w:numId w:val="2"/>
        </w:numPr>
        <w:tabs>
          <w:tab w:val="left" w:pos="1560"/>
        </w:tabs>
        <w:autoSpaceDE w:val="0"/>
        <w:autoSpaceDN w:val="0"/>
        <w:adjustRightInd w:val="0"/>
        <w:ind w:left="0" w:firstLine="708"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全面性原则。内部控制报告应当包括行政事业单位内部控制的建立与实施、覆盖单位层面和业务层面各类经济业务活动，能够综合反映行政事业单位的内部控制建设情况。</w:t>
      </w:r>
    </w:p>
    <w:p>
      <w:pPr>
        <w:pStyle w:val="7"/>
        <w:numPr>
          <w:ilvl w:val="0"/>
          <w:numId w:val="2"/>
        </w:numPr>
        <w:tabs>
          <w:tab w:val="left" w:pos="1560"/>
        </w:tabs>
        <w:autoSpaceDE w:val="0"/>
        <w:autoSpaceDN w:val="0"/>
        <w:adjustRightInd w:val="0"/>
        <w:ind w:left="0" w:firstLine="708"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重要性原则。内部控制报告应当重点关注行政事业单位重点领域和关键岗位，突出重点、兼顾一般，推动行政事业单位围绕重点开展内部控制建设，着力防范可能产生的重大风险。</w:t>
      </w:r>
    </w:p>
    <w:p>
      <w:pPr>
        <w:pStyle w:val="7"/>
        <w:numPr>
          <w:ilvl w:val="0"/>
          <w:numId w:val="2"/>
        </w:numPr>
        <w:tabs>
          <w:tab w:val="left" w:pos="1560"/>
        </w:tabs>
        <w:autoSpaceDE w:val="0"/>
        <w:autoSpaceDN w:val="0"/>
        <w:adjustRightInd w:val="0"/>
        <w:ind w:left="0" w:firstLine="705" w:firstLineChars="252"/>
        <w:jc w:val="left"/>
        <w:rPr>
          <w:rFonts w:ascii="宋体" w:hAnsi="宋体" w:eastAsia="宋体" w:cs="方正仿宋简体"/>
          <w:kern w:val="0"/>
          <w:sz w:val="28"/>
          <w:szCs w:val="28"/>
        </w:rPr>
      </w:pPr>
      <w:r>
        <w:rPr>
          <w:rFonts w:hint="eastAsia" w:ascii="宋体" w:hAnsi="宋体" w:eastAsia="宋体" w:cs="方正仿宋简体"/>
          <w:kern w:val="0"/>
          <w:sz w:val="28"/>
          <w:szCs w:val="28"/>
        </w:rPr>
        <w:t>客观性原则。内部控制报告应当立足于行政事业单位的实际情况，坚持实事求是，</w:t>
      </w:r>
      <w:r>
        <w:rPr>
          <w:rFonts w:ascii="宋体" w:hAnsi="宋体" w:eastAsia="宋体" w:cs="方正仿宋简体"/>
          <w:kern w:val="0"/>
          <w:sz w:val="28"/>
          <w:szCs w:val="28"/>
        </w:rPr>
        <w:t>真实、</w:t>
      </w:r>
      <w:r>
        <w:rPr>
          <w:rFonts w:hint="eastAsia" w:ascii="宋体" w:hAnsi="宋体" w:eastAsia="宋体" w:cs="方正仿宋简体"/>
          <w:kern w:val="0"/>
          <w:sz w:val="28"/>
          <w:szCs w:val="28"/>
        </w:rPr>
        <w:t>完整</w:t>
      </w:r>
      <w:r>
        <w:rPr>
          <w:rFonts w:ascii="宋体" w:hAnsi="宋体" w:eastAsia="宋体" w:cs="方正仿宋简体"/>
          <w:kern w:val="0"/>
          <w:sz w:val="28"/>
          <w:szCs w:val="28"/>
        </w:rPr>
        <w:t>地</w:t>
      </w:r>
      <w:r>
        <w:rPr>
          <w:rFonts w:hint="eastAsia" w:ascii="宋体" w:hAnsi="宋体" w:eastAsia="宋体" w:cs="方正仿宋简体"/>
          <w:kern w:val="0"/>
          <w:sz w:val="28"/>
          <w:szCs w:val="28"/>
        </w:rPr>
        <w:t>反映行政事业单位内部控制建立与实施情况。</w:t>
      </w:r>
    </w:p>
    <w:p>
      <w:pPr>
        <w:pStyle w:val="7"/>
        <w:numPr>
          <w:ilvl w:val="0"/>
          <w:numId w:val="2"/>
        </w:numPr>
        <w:tabs>
          <w:tab w:val="left" w:pos="1560"/>
        </w:tabs>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规范性原则。行政事业单位应当按照财政部规定的统一报告格式及信息要求编制内部控制报告，不得自行修改或删减报告及附表格式。</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行政事业单位是内部控制报告的责任主体。</w:t>
      </w:r>
    </w:p>
    <w:p>
      <w:pPr>
        <w:pStyle w:val="7"/>
        <w:autoSpaceDE w:val="0"/>
        <w:autoSpaceDN w:val="0"/>
        <w:adjustRightInd w:val="0"/>
        <w:ind w:left="709" w:firstLine="0"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单位主要负责人对本单位内部控制报告的真实性和完整性负责。</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行政事业单位应当根据本制度，结合本单位内部控制建立与实施的实际情况，明确相关内设机构、管理层级及岗位的职责权限，按照规定的方法、程序和要求，有序开展内部控制报告的编制、审核、报送、分析使用等工作。</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内部控制报告编报工作按照“统一部署、分级负责、逐级汇总、单向报送”的方式，由财政部统一部署，各地区、各垂直管理部门分级组织实施并以自下而上的方式逐级汇总，非垂直管理部门向同级财政部门报送，各行政事业单位按照行政管理关系向上级行政主管部门单向报送。</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第二章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内部控制报告编报工作的组织</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财政部负责组织实施全国行政事业单位内部控制报告编报工作。其职责主要是制定行政事业单位内部控制报告的有关规章制度及全国统一的行政事业单位内部控制报告格式，布置全国行政事业单位内部控制年度报告编报工作并开展相关培训，组织和指导全国行政事业单位内部控制报告的收集、审核、汇总、报送、分析使用，组织开展全国行政事业单位内部控制报告信息质量的监督检查工作，组织和指导全国行政事业单位内部控制考核评价工作，建立和管理全国行政事业单位内部控制报告数据库等工作。</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地方各级财政部门负责组织实施本地区行政事业单位内部控制报告编报工作，并对本地区内部控制汇总报告的真实性和完整性负责。其职责主要是布置本地区行政事业单位内部控制年度报告编报工作并开展相关培训, 组织和指导本地区行政事业单位内部控制报告的收集、审核、汇总、报送、分析使用，组织和开展本地区行政事业单位内部控制报告信息质量的监督检查工作，组织和指导本地区行政事业单位内部控制考核评价工作，建立和管理本地区行政事业单位内部控制报告数据库等工作。</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 xml:space="preserve"> 各行政主管部门（以下简称各部门）应当按照财政部门的要求，负责组织实施本部门行政事业单位内部控制报告编报工作，并对本部门内部控制汇总报告的真实性和完整性负责。其职责主要是布置本部门行政事业单位内部控制年度报告编报工作并开展相关培训，组织和指导本部门行政事业单位内部控制报告的收集、审核、汇总、报送、分析使用, 组织和开展本部门行政事业单位内部控制报告信息质量的监督检查工作, 组织和指导本部门行政事业单位内部控制考核评价工作，建立和管理本部门行政事业单位内部控制报告数据库。</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第三章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行政事业单位内部控制报告的编制与报送</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年度终了，行政事业单位应当按照本制度的有关要求，根据本单位当年内部控制建设工作的实际情况及取得的成效，以能够反映内部控制工作基本事实的相关材料为支撑，按照财政部发布的统一报告格式编制内部控制报告，经本单位主要负责人审批后对外报送。</w:t>
      </w:r>
    </w:p>
    <w:p>
      <w:pPr>
        <w:pStyle w:val="7"/>
        <w:numPr>
          <w:ilvl w:val="0"/>
          <w:numId w:val="1"/>
        </w:numPr>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行政事业单位能够反映内部控制工作基本事实的相关材料一般包括内部控制领导机构会议纪要、内部控制制度、流程图、内部控制检查报告、内部控制培训会相关材料等。</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行政事业单位应当在规定的时间内，向上级行政主管部门报送本单位内部控制报告及能够反映本单位内部控制工作基本事实的相关材料。</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第四章 部门行政事业单位内部控制报告的编制与报送</w:t>
      </w:r>
    </w:p>
    <w:p>
      <w:pPr>
        <w:pStyle w:val="7"/>
        <w:numPr>
          <w:ilvl w:val="0"/>
          <w:numId w:val="1"/>
        </w:numPr>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各部门应当在所属行政事业单位上报的内部控制报告和部门本级内部控制报告的基础上，汇总形成本部门行政事业单位内部控制报告。</w:t>
      </w:r>
    </w:p>
    <w:p>
      <w:pPr>
        <w:pStyle w:val="7"/>
        <w:numPr>
          <w:ilvl w:val="0"/>
          <w:numId w:val="1"/>
        </w:numPr>
        <w:autoSpaceDE w:val="0"/>
        <w:autoSpaceDN w:val="0"/>
        <w:adjustRightInd w:val="0"/>
        <w:ind w:left="0" w:firstLine="708" w:firstLineChars="253"/>
        <w:jc w:val="left"/>
        <w:rPr>
          <w:rFonts w:ascii="宋体" w:hAnsi="宋体" w:eastAsia="宋体" w:cs="方正仿宋简体"/>
          <w:kern w:val="0"/>
          <w:sz w:val="28"/>
          <w:szCs w:val="28"/>
        </w:rPr>
      </w:pPr>
      <w:r>
        <w:rPr>
          <w:rFonts w:hint="eastAsia" w:ascii="宋体" w:hAnsi="宋体" w:eastAsia="宋体" w:cs="方正仿宋简体"/>
          <w:kern w:val="0"/>
          <w:sz w:val="28"/>
          <w:szCs w:val="28"/>
        </w:rPr>
        <w:t>各部门汇总的行政事业单位内部控制报告应当以所属行政事业单位上报的信息为准，不得虚报、瞒报和随意调整。</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各部门应当在规定的时间内，向同级财政部门报送本部门行政事业单位内部控制报告。</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第五章 地区行政事业单位内部控制报告的编制与报送</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地方各级财政部门应当在下级财政部门上报的内部控制报告和本地区部门内部控制报告的基础上，汇总形成本地区行政事业单位内部控制报告。</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地方各级财政部门汇总的本地区行政事业单位内部控制报告应当以本地区部门和下级财政部门上报的信息为准，不得虚报、瞒报和随意调整。</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地方各级财政部门应当在规定的时间内，向上级财政部门逐级报送本地区行政事业单位内部控制报告。</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第六章 行政事业单位内部控制报告的使用</w:t>
      </w:r>
    </w:p>
    <w:p>
      <w:pPr>
        <w:pStyle w:val="7"/>
        <w:numPr>
          <w:ilvl w:val="0"/>
          <w:numId w:val="1"/>
        </w:numPr>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应当加强对本单位内部控制报告的使用，通过对内部控制报告中反映的信息进行分析，及时发现内部控制建设工作中存在的问题，进一步健全制度，提高执行力，完善监督措施，确保内部控制有效实施。</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各地区、各部门应当加强对行政事业单位内部控制报告的分析，强化分析结果的反馈和使用，切实规范和改进财政财务管理，更好发挥对行政事业单位内部控制建设的促进和监督作用。</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第七章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行政事业单位内部控制报告的监督检查</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各地区、各部门汇总的内部控制报告报送后，各级财政部门、各部门应当组织开展对所报送的内部控制报告内容的真实性、完整性和规范性进行监督检查。</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内部控制报告信息质量的监督检查工作采取“统一管理、分级实施”原则。中央部门内部控制报告信息质量监督检查工作由财政部组织实施，各地区行政事业单位内部控制报告信息质量监督检查工作由同级财政部门按照统一的工作要求分级组织实施，各部门所属行政事业单位内部控制报告信息质量监督检查由本部门组织实施。</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行政事业单位内部控制报告信息质量的监督检查应按规定采取适当的方式来确定对象，并对内部控制报告存在明显质量问题或以往年份监督检查不合格单位进行重点核查。</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各地区、各部门应当认真组织落实本地区（部门）的行政事业单位内部控制报告编报工作，加强对内部控制报告编报工作的考核。</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行政事业单位应当认真、如实编制内部控制报告，不得漏报、瞒报有关内部控制信息，更不得编造虚假内部控制信息；单位负责人不得授意、指使、强令相关人员提供虚假内部控制信息，不得对拒绝、抵制编造虚假内部控制信息的人员进行打击报复。</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对于违反规定、提供虚假内部控制信息的单位及相关负责人，按照《中华人民共和国会计法》《中华人民共和国预算法》《财政违法行为处罚处分条例》等有关法律法规规定追究责任。</w:t>
      </w:r>
    </w:p>
    <w:p>
      <w:pPr>
        <w:tabs>
          <w:tab w:val="left" w:pos="2410"/>
        </w:tabs>
        <w:autoSpaceDE w:val="0"/>
        <w:autoSpaceDN w:val="0"/>
        <w:adjustRightInd w:val="0"/>
        <w:ind w:firstLine="560" w:firstLineChars="200"/>
        <w:jc w:val="left"/>
        <w:rPr>
          <w:rFonts w:ascii="宋体" w:hAnsi="宋体" w:eastAsia="宋体" w:cs="方正仿宋简体"/>
          <w:kern w:val="0"/>
          <w:sz w:val="28"/>
          <w:szCs w:val="28"/>
        </w:rPr>
      </w:pPr>
      <w:r>
        <w:rPr>
          <w:rFonts w:hint="eastAsia" w:ascii="宋体" w:hAnsi="宋体" w:eastAsia="宋体" w:cs="方正仿宋简体"/>
          <w:kern w:val="0"/>
          <w:sz w:val="28"/>
          <w:szCs w:val="28"/>
        </w:rPr>
        <w:t>各级财政部门及其工作人员在行政事业单位内部控制报告管理工作中，存在滥用职权、玩忽职守、徇私舞弊等违法违纪行为的，按照《公务员法》《行政监察法》《财政违法行为处罚处分条例》等国家有关规定追究相应责任；涉嫌犯罪的，移送司法机关处理。</w:t>
      </w:r>
    </w:p>
    <w:p>
      <w:pPr>
        <w:autoSpaceDE w:val="0"/>
        <w:autoSpaceDN w:val="0"/>
        <w:adjustRightInd w:val="0"/>
        <w:spacing w:beforeLines="100" w:afterLines="100" w:line="360" w:lineRule="auto"/>
        <w:jc w:val="center"/>
        <w:rPr>
          <w:rFonts w:ascii="黑体" w:hAnsi="黑体" w:eastAsia="黑体" w:cs="方正黑体简体"/>
          <w:kern w:val="0"/>
          <w:sz w:val="30"/>
          <w:szCs w:val="30"/>
        </w:rPr>
      </w:pPr>
      <w:r>
        <w:rPr>
          <w:rFonts w:hint="eastAsia" w:ascii="黑体" w:hAnsi="黑体" w:eastAsia="黑体" w:cs="方正黑体简体"/>
          <w:kern w:val="0"/>
          <w:sz w:val="30"/>
          <w:szCs w:val="30"/>
        </w:rPr>
        <w:t>第八章</w:t>
      </w:r>
      <w:r>
        <w:rPr>
          <w:rFonts w:ascii="黑体" w:hAnsi="黑体" w:eastAsia="黑体" w:cs="方正黑体简体"/>
          <w:kern w:val="0"/>
          <w:sz w:val="30"/>
          <w:szCs w:val="30"/>
        </w:rPr>
        <w:t xml:space="preserve"> </w:t>
      </w:r>
      <w:r>
        <w:rPr>
          <w:rFonts w:hint="eastAsia" w:ascii="黑体" w:hAnsi="黑体" w:eastAsia="黑体" w:cs="方正黑体简体"/>
          <w:kern w:val="0"/>
          <w:sz w:val="30"/>
          <w:szCs w:val="30"/>
        </w:rPr>
        <w:t>附  则</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各地区、各部门可依据本制度，结合工作实际， 制定相应的实施细则。</w:t>
      </w:r>
    </w:p>
    <w:p>
      <w:pPr>
        <w:pStyle w:val="7"/>
        <w:numPr>
          <w:ilvl w:val="0"/>
          <w:numId w:val="1"/>
        </w:numPr>
        <w:tabs>
          <w:tab w:val="left" w:pos="2410"/>
        </w:tabs>
        <w:autoSpaceDE w:val="0"/>
        <w:autoSpaceDN w:val="0"/>
        <w:adjustRightInd w:val="0"/>
        <w:ind w:left="0" w:firstLine="709" w:firstLineChars="0"/>
        <w:jc w:val="left"/>
        <w:rPr>
          <w:rFonts w:ascii="宋体" w:hAnsi="宋体" w:eastAsia="宋体" w:cs="方正仿宋简体"/>
          <w:kern w:val="0"/>
          <w:sz w:val="28"/>
          <w:szCs w:val="28"/>
        </w:rPr>
      </w:pPr>
      <w:r>
        <w:rPr>
          <w:rFonts w:hint="eastAsia" w:ascii="宋体" w:hAnsi="宋体" w:eastAsia="宋体" w:cs="方正仿宋简体"/>
          <w:kern w:val="0"/>
          <w:sz w:val="28"/>
          <w:szCs w:val="28"/>
        </w:rPr>
        <w:t>本制度自2017年3月1日起施行。</w:t>
      </w:r>
    </w:p>
    <w:p>
      <w:pPr>
        <w:autoSpaceDE w:val="0"/>
        <w:autoSpaceDN w:val="0"/>
        <w:adjustRightInd w:val="0"/>
        <w:ind w:left="289" w:firstLine="420"/>
        <w:jc w:val="left"/>
        <w:rPr>
          <w:rFonts w:ascii="宋体" w:hAnsi="宋体" w:eastAsia="宋体" w:cs="方正仿宋简体"/>
          <w:kern w:val="0"/>
          <w:sz w:val="28"/>
          <w:szCs w:val="28"/>
        </w:rPr>
      </w:pP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9844"/>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D3A"/>
    <w:multiLevelType w:val="multilevel"/>
    <w:tmpl w:val="0D9B1D3A"/>
    <w:lvl w:ilvl="0" w:tentative="0">
      <w:start w:val="1"/>
      <w:numFmt w:val="chineseCountingThousand"/>
      <w:lvlText w:val="第%1条"/>
      <w:lvlJc w:val="left"/>
      <w:pPr>
        <w:ind w:left="3114" w:hanging="420"/>
      </w:pPr>
      <w:rPr>
        <w:rFonts w:hint="eastAsia"/>
        <w:b/>
        <w:i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4F48FD"/>
    <w:multiLevelType w:val="multilevel"/>
    <w:tmpl w:val="2A4F48FD"/>
    <w:lvl w:ilvl="0" w:tentative="0">
      <w:start w:val="1"/>
      <w:numFmt w:val="japaneseCounting"/>
      <w:lvlText w:val="（%1）"/>
      <w:lvlJc w:val="left"/>
      <w:pPr>
        <w:ind w:left="1563" w:hanging="855"/>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33D5"/>
    <w:rsid w:val="000027F4"/>
    <w:rsid w:val="00002EAE"/>
    <w:rsid w:val="00005586"/>
    <w:rsid w:val="00006B40"/>
    <w:rsid w:val="00013DAC"/>
    <w:rsid w:val="00022DBC"/>
    <w:rsid w:val="00024215"/>
    <w:rsid w:val="00031C69"/>
    <w:rsid w:val="000406CA"/>
    <w:rsid w:val="00047157"/>
    <w:rsid w:val="00073675"/>
    <w:rsid w:val="00074D49"/>
    <w:rsid w:val="000A3269"/>
    <w:rsid w:val="000A573B"/>
    <w:rsid w:val="000D0D9A"/>
    <w:rsid w:val="000D5EE5"/>
    <w:rsid w:val="000E264F"/>
    <w:rsid w:val="000E5F44"/>
    <w:rsid w:val="000F2F33"/>
    <w:rsid w:val="00106592"/>
    <w:rsid w:val="00110CE4"/>
    <w:rsid w:val="001149A9"/>
    <w:rsid w:val="00155D9A"/>
    <w:rsid w:val="001A2FBD"/>
    <w:rsid w:val="001C182D"/>
    <w:rsid w:val="001C6330"/>
    <w:rsid w:val="001D5616"/>
    <w:rsid w:val="001D700A"/>
    <w:rsid w:val="001D7517"/>
    <w:rsid w:val="001E075D"/>
    <w:rsid w:val="001E6E15"/>
    <w:rsid w:val="001F0DE2"/>
    <w:rsid w:val="001F4B61"/>
    <w:rsid w:val="0020212E"/>
    <w:rsid w:val="002073ED"/>
    <w:rsid w:val="00214E22"/>
    <w:rsid w:val="0021752E"/>
    <w:rsid w:val="00220702"/>
    <w:rsid w:val="00225D32"/>
    <w:rsid w:val="00235C4A"/>
    <w:rsid w:val="00237A76"/>
    <w:rsid w:val="00245D16"/>
    <w:rsid w:val="00247D37"/>
    <w:rsid w:val="00253445"/>
    <w:rsid w:val="00257554"/>
    <w:rsid w:val="00260E06"/>
    <w:rsid w:val="00282424"/>
    <w:rsid w:val="002941A0"/>
    <w:rsid w:val="002C7E2B"/>
    <w:rsid w:val="002E374A"/>
    <w:rsid w:val="002F1301"/>
    <w:rsid w:val="002F64B1"/>
    <w:rsid w:val="002F7F5F"/>
    <w:rsid w:val="0030798C"/>
    <w:rsid w:val="00310100"/>
    <w:rsid w:val="00310542"/>
    <w:rsid w:val="00317814"/>
    <w:rsid w:val="00333263"/>
    <w:rsid w:val="00337579"/>
    <w:rsid w:val="003511DB"/>
    <w:rsid w:val="00356CB6"/>
    <w:rsid w:val="00364A49"/>
    <w:rsid w:val="00366C5C"/>
    <w:rsid w:val="00377729"/>
    <w:rsid w:val="00381675"/>
    <w:rsid w:val="00385F8A"/>
    <w:rsid w:val="00387265"/>
    <w:rsid w:val="00390ADD"/>
    <w:rsid w:val="0039380F"/>
    <w:rsid w:val="003947AC"/>
    <w:rsid w:val="003A3F06"/>
    <w:rsid w:val="003A78B0"/>
    <w:rsid w:val="003B2681"/>
    <w:rsid w:val="003D1C15"/>
    <w:rsid w:val="003D2629"/>
    <w:rsid w:val="003F415B"/>
    <w:rsid w:val="003F6270"/>
    <w:rsid w:val="00411453"/>
    <w:rsid w:val="00411C0D"/>
    <w:rsid w:val="004227AF"/>
    <w:rsid w:val="004363F0"/>
    <w:rsid w:val="00437012"/>
    <w:rsid w:val="0043705D"/>
    <w:rsid w:val="004708D9"/>
    <w:rsid w:val="00477E83"/>
    <w:rsid w:val="00495B7F"/>
    <w:rsid w:val="004B6B86"/>
    <w:rsid w:val="004C1FCC"/>
    <w:rsid w:val="004E49F3"/>
    <w:rsid w:val="004F06F0"/>
    <w:rsid w:val="004F39BA"/>
    <w:rsid w:val="004F3F7A"/>
    <w:rsid w:val="004F4E35"/>
    <w:rsid w:val="00505B5C"/>
    <w:rsid w:val="00514D72"/>
    <w:rsid w:val="005226D8"/>
    <w:rsid w:val="00522DEF"/>
    <w:rsid w:val="00525FB3"/>
    <w:rsid w:val="00530CE8"/>
    <w:rsid w:val="00546782"/>
    <w:rsid w:val="0055000D"/>
    <w:rsid w:val="00554530"/>
    <w:rsid w:val="00560083"/>
    <w:rsid w:val="00565669"/>
    <w:rsid w:val="00567108"/>
    <w:rsid w:val="00580236"/>
    <w:rsid w:val="00581875"/>
    <w:rsid w:val="005A1446"/>
    <w:rsid w:val="005A60A6"/>
    <w:rsid w:val="005C04EB"/>
    <w:rsid w:val="005D55C0"/>
    <w:rsid w:val="005D7069"/>
    <w:rsid w:val="005D7748"/>
    <w:rsid w:val="005E5643"/>
    <w:rsid w:val="005F06D8"/>
    <w:rsid w:val="005F2F4A"/>
    <w:rsid w:val="00600FD5"/>
    <w:rsid w:val="00605A06"/>
    <w:rsid w:val="00606C1E"/>
    <w:rsid w:val="00615141"/>
    <w:rsid w:val="0062276B"/>
    <w:rsid w:val="0063157E"/>
    <w:rsid w:val="00634F5C"/>
    <w:rsid w:val="006622EC"/>
    <w:rsid w:val="00662D79"/>
    <w:rsid w:val="0066482C"/>
    <w:rsid w:val="00665AFB"/>
    <w:rsid w:val="006931E5"/>
    <w:rsid w:val="006949C2"/>
    <w:rsid w:val="006A0F31"/>
    <w:rsid w:val="006A6AC1"/>
    <w:rsid w:val="006B1B37"/>
    <w:rsid w:val="006C2C75"/>
    <w:rsid w:val="006C5ED1"/>
    <w:rsid w:val="006C7FD8"/>
    <w:rsid w:val="006F4A16"/>
    <w:rsid w:val="00715BA5"/>
    <w:rsid w:val="00722833"/>
    <w:rsid w:val="00737A2B"/>
    <w:rsid w:val="00740004"/>
    <w:rsid w:val="007453AE"/>
    <w:rsid w:val="00752DA0"/>
    <w:rsid w:val="007537CA"/>
    <w:rsid w:val="007640EF"/>
    <w:rsid w:val="00775D92"/>
    <w:rsid w:val="00783CA9"/>
    <w:rsid w:val="00787D2B"/>
    <w:rsid w:val="007963B6"/>
    <w:rsid w:val="007A43F7"/>
    <w:rsid w:val="007A7418"/>
    <w:rsid w:val="007B58EF"/>
    <w:rsid w:val="007B70E3"/>
    <w:rsid w:val="007C2AA9"/>
    <w:rsid w:val="007C599F"/>
    <w:rsid w:val="007D303A"/>
    <w:rsid w:val="007D4822"/>
    <w:rsid w:val="007E1822"/>
    <w:rsid w:val="00805D1A"/>
    <w:rsid w:val="008265F4"/>
    <w:rsid w:val="00833838"/>
    <w:rsid w:val="008417D2"/>
    <w:rsid w:val="00845198"/>
    <w:rsid w:val="00854CEB"/>
    <w:rsid w:val="00856D75"/>
    <w:rsid w:val="00863AA4"/>
    <w:rsid w:val="0086646A"/>
    <w:rsid w:val="00874025"/>
    <w:rsid w:val="0087560C"/>
    <w:rsid w:val="00883AD3"/>
    <w:rsid w:val="008C5F29"/>
    <w:rsid w:val="008C657E"/>
    <w:rsid w:val="008C782D"/>
    <w:rsid w:val="008E0001"/>
    <w:rsid w:val="008E7A14"/>
    <w:rsid w:val="009055D1"/>
    <w:rsid w:val="009162B4"/>
    <w:rsid w:val="009214DC"/>
    <w:rsid w:val="00925D6B"/>
    <w:rsid w:val="009306B5"/>
    <w:rsid w:val="009420FA"/>
    <w:rsid w:val="00942D85"/>
    <w:rsid w:val="009462AA"/>
    <w:rsid w:val="009579B3"/>
    <w:rsid w:val="009652C9"/>
    <w:rsid w:val="00971B5A"/>
    <w:rsid w:val="009807E1"/>
    <w:rsid w:val="00987729"/>
    <w:rsid w:val="009946D3"/>
    <w:rsid w:val="00995C07"/>
    <w:rsid w:val="009B65AD"/>
    <w:rsid w:val="009B6B88"/>
    <w:rsid w:val="009D49E5"/>
    <w:rsid w:val="009F2ABB"/>
    <w:rsid w:val="009F7B45"/>
    <w:rsid w:val="00A04BF6"/>
    <w:rsid w:val="00A1196B"/>
    <w:rsid w:val="00A23F48"/>
    <w:rsid w:val="00A25505"/>
    <w:rsid w:val="00A306D4"/>
    <w:rsid w:val="00A34AB9"/>
    <w:rsid w:val="00A353B1"/>
    <w:rsid w:val="00A36059"/>
    <w:rsid w:val="00A4042A"/>
    <w:rsid w:val="00A4179E"/>
    <w:rsid w:val="00A41F74"/>
    <w:rsid w:val="00A5560A"/>
    <w:rsid w:val="00A6129D"/>
    <w:rsid w:val="00A620BD"/>
    <w:rsid w:val="00A72699"/>
    <w:rsid w:val="00A732DC"/>
    <w:rsid w:val="00A8022C"/>
    <w:rsid w:val="00A86D5D"/>
    <w:rsid w:val="00AA1D5D"/>
    <w:rsid w:val="00AC3F4F"/>
    <w:rsid w:val="00AD6B44"/>
    <w:rsid w:val="00AF14C0"/>
    <w:rsid w:val="00B11031"/>
    <w:rsid w:val="00B11F7C"/>
    <w:rsid w:val="00B166A3"/>
    <w:rsid w:val="00B259EE"/>
    <w:rsid w:val="00B25CCE"/>
    <w:rsid w:val="00B359A0"/>
    <w:rsid w:val="00B400C7"/>
    <w:rsid w:val="00B44817"/>
    <w:rsid w:val="00B570A1"/>
    <w:rsid w:val="00B578E6"/>
    <w:rsid w:val="00B60365"/>
    <w:rsid w:val="00B815F3"/>
    <w:rsid w:val="00B84CCC"/>
    <w:rsid w:val="00B857BC"/>
    <w:rsid w:val="00B91851"/>
    <w:rsid w:val="00BA2EB5"/>
    <w:rsid w:val="00BB2571"/>
    <w:rsid w:val="00BC008E"/>
    <w:rsid w:val="00BC3CF0"/>
    <w:rsid w:val="00BC4033"/>
    <w:rsid w:val="00BC527D"/>
    <w:rsid w:val="00BD1830"/>
    <w:rsid w:val="00BE5DAC"/>
    <w:rsid w:val="00C01BC2"/>
    <w:rsid w:val="00C07609"/>
    <w:rsid w:val="00C278D3"/>
    <w:rsid w:val="00C43194"/>
    <w:rsid w:val="00C55F2F"/>
    <w:rsid w:val="00C63761"/>
    <w:rsid w:val="00C700A5"/>
    <w:rsid w:val="00C71F71"/>
    <w:rsid w:val="00C73002"/>
    <w:rsid w:val="00C733D5"/>
    <w:rsid w:val="00C9456A"/>
    <w:rsid w:val="00CA0016"/>
    <w:rsid w:val="00CA1BF6"/>
    <w:rsid w:val="00CA579B"/>
    <w:rsid w:val="00CA6133"/>
    <w:rsid w:val="00CB58F8"/>
    <w:rsid w:val="00CB706E"/>
    <w:rsid w:val="00CD1E97"/>
    <w:rsid w:val="00CE0845"/>
    <w:rsid w:val="00CE4689"/>
    <w:rsid w:val="00CE5395"/>
    <w:rsid w:val="00CE6EBC"/>
    <w:rsid w:val="00CF028A"/>
    <w:rsid w:val="00CF17F2"/>
    <w:rsid w:val="00CF4C6F"/>
    <w:rsid w:val="00CF6D21"/>
    <w:rsid w:val="00D10B3E"/>
    <w:rsid w:val="00D137F4"/>
    <w:rsid w:val="00D20FAD"/>
    <w:rsid w:val="00D25425"/>
    <w:rsid w:val="00D279E2"/>
    <w:rsid w:val="00D364DC"/>
    <w:rsid w:val="00D41656"/>
    <w:rsid w:val="00D416FA"/>
    <w:rsid w:val="00D638C1"/>
    <w:rsid w:val="00D639BC"/>
    <w:rsid w:val="00D6642C"/>
    <w:rsid w:val="00D70343"/>
    <w:rsid w:val="00D73905"/>
    <w:rsid w:val="00D80B0E"/>
    <w:rsid w:val="00D83DF0"/>
    <w:rsid w:val="00D84D44"/>
    <w:rsid w:val="00D90068"/>
    <w:rsid w:val="00DA31F8"/>
    <w:rsid w:val="00DA4D2C"/>
    <w:rsid w:val="00DA6165"/>
    <w:rsid w:val="00DB520A"/>
    <w:rsid w:val="00DB6A7B"/>
    <w:rsid w:val="00DC0EB4"/>
    <w:rsid w:val="00DC4560"/>
    <w:rsid w:val="00DC6481"/>
    <w:rsid w:val="00DD4DD1"/>
    <w:rsid w:val="00DD5245"/>
    <w:rsid w:val="00DE1713"/>
    <w:rsid w:val="00DE3946"/>
    <w:rsid w:val="00DE6B42"/>
    <w:rsid w:val="00DF1288"/>
    <w:rsid w:val="00E014B3"/>
    <w:rsid w:val="00E130E9"/>
    <w:rsid w:val="00E26917"/>
    <w:rsid w:val="00E355E5"/>
    <w:rsid w:val="00E4551C"/>
    <w:rsid w:val="00E577A4"/>
    <w:rsid w:val="00E624C9"/>
    <w:rsid w:val="00E7006C"/>
    <w:rsid w:val="00E8633B"/>
    <w:rsid w:val="00EA0390"/>
    <w:rsid w:val="00EA231D"/>
    <w:rsid w:val="00EA2C29"/>
    <w:rsid w:val="00EB1F90"/>
    <w:rsid w:val="00EB47FC"/>
    <w:rsid w:val="00EB69B3"/>
    <w:rsid w:val="00ED025B"/>
    <w:rsid w:val="00ED4B9D"/>
    <w:rsid w:val="00ED592B"/>
    <w:rsid w:val="00ED5C87"/>
    <w:rsid w:val="00ED7CAE"/>
    <w:rsid w:val="00ED7F64"/>
    <w:rsid w:val="00EE1174"/>
    <w:rsid w:val="00EE6AB2"/>
    <w:rsid w:val="00EF1D21"/>
    <w:rsid w:val="00EF5D1A"/>
    <w:rsid w:val="00F10514"/>
    <w:rsid w:val="00F10AA0"/>
    <w:rsid w:val="00F1670C"/>
    <w:rsid w:val="00F232E7"/>
    <w:rsid w:val="00F3452D"/>
    <w:rsid w:val="00F35CE5"/>
    <w:rsid w:val="00F37CC6"/>
    <w:rsid w:val="00F8403A"/>
    <w:rsid w:val="00F84894"/>
    <w:rsid w:val="00F879AA"/>
    <w:rsid w:val="00F87FFC"/>
    <w:rsid w:val="00F930FE"/>
    <w:rsid w:val="00F96B87"/>
    <w:rsid w:val="00FA294E"/>
    <w:rsid w:val="00FC3204"/>
    <w:rsid w:val="00FC3668"/>
    <w:rsid w:val="00FC4807"/>
    <w:rsid w:val="00FD5BB5"/>
    <w:rsid w:val="00FE6F76"/>
    <w:rsid w:val="084B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496</Words>
  <Characters>2833</Characters>
  <Lines>23</Lines>
  <Paragraphs>6</Paragraphs>
  <TotalTime>0</TotalTime>
  <ScaleCrop>false</ScaleCrop>
  <LinksUpToDate>false</LinksUpToDate>
  <CharactersWithSpaces>3323</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2017-01-04T09:10:00Z</dcterms:created>
  <dc:creator>0302</dc:creator>
  <cp:lastModifiedBy>Administrator</cp:lastModifiedBy>
  <cp:lastPrinted>2017-01-05T01:22:00Z</cp:lastPrinted>
  <dcterms:modified xsi:type="dcterms:W3CDTF">2017-11-15T01:33:13Z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