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210" w:afterAutospacing="0" w:line="27" w:lineRule="atLeast"/>
        <w:ind w:left="0" w:right="0"/>
        <w:jc w:val="center"/>
        <w:rPr>
          <w:rFonts w:ascii="Arial" w:hAnsi="Arial" w:cs="Arial"/>
          <w:sz w:val="24"/>
          <w:szCs w:val="24"/>
        </w:rPr>
      </w:pPr>
      <w:r>
        <w:rPr>
          <w:rFonts w:hint="eastAsia" w:ascii="宋体" w:hAnsi="宋体" w:eastAsia="宋体" w:cs="宋体"/>
          <w:b/>
          <w:color w:val="185895"/>
          <w:kern w:val="0"/>
          <w:sz w:val="36"/>
          <w:szCs w:val="36"/>
          <w:lang w:val="en-US" w:eastAsia="zh-CN" w:bidi="ar"/>
        </w:rPr>
        <w:t>关于印发《中央和国</w:t>
      </w:r>
      <w:bookmarkStart w:id="0" w:name="_GoBack"/>
      <w:bookmarkEnd w:id="0"/>
      <w:r>
        <w:rPr>
          <w:rFonts w:hint="eastAsia" w:ascii="宋体" w:hAnsi="宋体" w:eastAsia="宋体" w:cs="宋体"/>
          <w:b/>
          <w:color w:val="185895"/>
          <w:kern w:val="0"/>
          <w:sz w:val="36"/>
          <w:szCs w:val="36"/>
          <w:lang w:val="en-US" w:eastAsia="zh-CN" w:bidi="ar"/>
        </w:rPr>
        <w:t>家机关培训费管理办法》的通知</w:t>
      </w:r>
      <w:r>
        <w:rPr>
          <w:rFonts w:hint="default" w:ascii="Arial" w:hAnsi="Arial" w:eastAsia="宋体" w:cs="Arial"/>
          <w:sz w:val="24"/>
          <w:szCs w:val="24"/>
        </w:rPr>
        <w:t>财行[2016]540号</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党中央各部门，国务院各部委、各直属机构，全国人大常委会办公厅，全国政协办公厅，高法院，高检院，各人民团体，各民主党派中央，全国工商联，新疆生产建设兵团财务局、组织部、公务员局：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为进一步推进厉行节约反对浪费制度体系建设，推进干部教育培训事业持续健康发展，我们对《中央和国家机关培训费管理办法》（财行〔2013〕523号）进行了修订。现将修订后的《中央和国家机关培训费管理办法》印发给你们，请认真遵照执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附件：中央和国家机关培训费管理办法</w:t>
      </w:r>
    </w:p>
    <w:p>
      <w:pPr>
        <w:pStyle w:val="2"/>
        <w:keepNext w:val="0"/>
        <w:keepLines w:val="0"/>
        <w:widowControl/>
        <w:suppressLineNumbers w:val="0"/>
        <w:spacing w:before="0" w:beforeAutospacing="1" w:after="210" w:afterAutospacing="0" w:line="27" w:lineRule="atLeast"/>
        <w:ind w:left="0" w:right="0"/>
        <w:jc w:val="right"/>
        <w:rPr>
          <w:rFonts w:hint="default" w:ascii="Arial" w:hAnsi="Arial" w:cs="Arial"/>
          <w:sz w:val="24"/>
          <w:szCs w:val="24"/>
        </w:rPr>
      </w:pPr>
      <w:r>
        <w:rPr>
          <w:rFonts w:hint="default" w:ascii="Arial" w:hAnsi="Arial" w:eastAsia="宋体" w:cs="Arial"/>
          <w:sz w:val="24"/>
          <w:szCs w:val="24"/>
        </w:rPr>
        <w:t>　　财政部  中共中央组织部  国家公务员局</w:t>
      </w:r>
    </w:p>
    <w:p>
      <w:pPr>
        <w:pStyle w:val="2"/>
        <w:keepNext w:val="0"/>
        <w:keepLines w:val="0"/>
        <w:widowControl/>
        <w:suppressLineNumbers w:val="0"/>
        <w:spacing w:before="0" w:beforeAutospacing="1" w:after="210" w:afterAutospacing="0" w:line="27" w:lineRule="atLeast"/>
        <w:ind w:left="0" w:right="0"/>
        <w:jc w:val="right"/>
        <w:rPr>
          <w:rFonts w:hint="default" w:ascii="Arial" w:hAnsi="Arial" w:cs="Arial"/>
          <w:sz w:val="24"/>
          <w:szCs w:val="24"/>
        </w:rPr>
      </w:pPr>
      <w:r>
        <w:rPr>
          <w:rFonts w:hint="default" w:ascii="Arial" w:hAnsi="Arial" w:eastAsia="宋体" w:cs="Arial"/>
          <w:sz w:val="24"/>
          <w:szCs w:val="24"/>
        </w:rPr>
        <w:t>　　2016年12月27日</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附件：</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Style w:val="4"/>
          <w:rFonts w:hint="default" w:ascii="Arial" w:hAnsi="Arial" w:eastAsia="宋体" w:cs="Arial"/>
          <w:sz w:val="24"/>
          <w:szCs w:val="24"/>
        </w:rPr>
        <w:t>中央和国家机关培训费管理办法</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Style w:val="4"/>
          <w:rFonts w:hint="default" w:ascii="Arial" w:hAnsi="Arial" w:eastAsia="宋体" w:cs="Arial"/>
          <w:sz w:val="24"/>
          <w:szCs w:val="24"/>
        </w:rPr>
        <w:t>第一章 总则</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第一条  为进一步规范中央和国家机关培训工作，保证培训工作需要，加强培训经费管理，依据《中华人民共和国公务员法》《干部教育培训工作条例》和其他有关法律法规，制定本办法。</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第二条  本办法所称培训，是指中央和国家机关及其所属机构使用财政资金在境内举办的三个月以内的各类培训。</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第三条  本办法所称中央和国家机关，是指党中央各部门，国务院各部委、各直属机构，全国人大常委会办公厅，全国政协办公厅，最高人民法院，最高人民检察院，各人民团体，各民主党派中央和全国工商联 (以下简称各单位)。</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第四条  各单位举办培训应当坚持厉行节约、反对浪费的原则，实行单位内部统一管理，增强培训计划的科学性和严肃性，增强培训项目的针对性和实效性，保证培训质量，节约培训资源，提高培训经费使用效益。</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Style w:val="4"/>
          <w:rFonts w:hint="default" w:ascii="Arial" w:hAnsi="Arial" w:eastAsia="宋体" w:cs="Arial"/>
          <w:sz w:val="24"/>
          <w:szCs w:val="24"/>
        </w:rPr>
        <w:t>第二章 计划和备案管理</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第五条  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第六条  年度培训计划一经批准，原则上不得调整。因工作需要确需临时增加培训项目的，报单位主要负责同志审批。</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第七条  各单位年度培训计划于每年3月31日前同时报中央组织部、财政部、国家公务员局备案。</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Style w:val="4"/>
          <w:rFonts w:hint="default" w:ascii="Arial" w:hAnsi="Arial" w:eastAsia="宋体" w:cs="Arial"/>
          <w:sz w:val="24"/>
          <w:szCs w:val="24"/>
        </w:rPr>
        <w:t>第三章 开支范围和标准</w:t>
      </w:r>
    </w:p>
    <w:p>
      <w:pPr>
        <w:pStyle w:val="2"/>
        <w:keepNext w:val="0"/>
        <w:keepLines w:val="0"/>
        <w:widowControl/>
        <w:suppressLineNumbers w:val="0"/>
        <w:spacing w:before="0" w:beforeAutospacing="1" w:after="210" w:afterAutospacing="0" w:line="27" w:lineRule="atLeast"/>
        <w:ind w:left="0" w:right="0"/>
        <w:jc w:val="left"/>
        <w:rPr>
          <w:rFonts w:hint="default" w:ascii="Arial" w:hAnsi="Arial" w:cs="Arial"/>
          <w:sz w:val="24"/>
          <w:szCs w:val="24"/>
        </w:rPr>
      </w:pPr>
      <w:r>
        <w:rPr>
          <w:rFonts w:hint="default" w:ascii="Arial" w:hAnsi="Arial" w:eastAsia="宋体" w:cs="Arial"/>
          <w:sz w:val="24"/>
          <w:szCs w:val="24"/>
        </w:rPr>
        <w:t>　　第八条  本办法所称培训费，是指各单位开展培训直接发生的各项费用支出，包括师资费、住宿费、伙食费、培训场地费、培训资料费、交通费以及其他费用。</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（一）师资费是指聘请师资授课发生的费用，包括授课老师讲课费、住宿费、伙食费、城市间交通费等。</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（二）住宿费是指参训人员及工作人员培训期间发生的租住房间的费用。</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（三）伙食费是指参训人员及工作人员培训期间发生的用餐费用。</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（四）培训场地费是指用于培训的会议室或教室租金。</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（五）培训资料费是指培训期间必要的资料及办公用品费。</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（六）交通费是指用于培训所需的人员接送以及与培训有关的考察、调研等发生的交通支出。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（七）其他费用是指现场教学费、设备租赁费、文体活动费、医药费等与培训有关的其他支出。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参训人员参加培训往返及异地教学发生的城市间交通费，按照中央和国家机关差旅费有关规定回单位报销。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第九条  除师资费外，培训费实行分类综合定额标准，分项核定、总额控制，各项费用之间可以调剂使用。综合定额标准如下：</w:t>
      </w:r>
    </w:p>
    <w:tbl>
      <w:tblPr>
        <w:tblStyle w:val="5"/>
        <w:tblW w:w="8364"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090"/>
        <w:gridCol w:w="1249"/>
        <w:gridCol w:w="1524"/>
        <w:gridCol w:w="1901"/>
        <w:gridCol w:w="1568"/>
        <w:gridCol w:w="103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090" w:type="dxa"/>
            <w:tcBorders>
              <w:top w:val="outset" w:color="000000" w:sz="6" w:space="0"/>
              <w:left w:val="outset" w:color="000000" w:sz="6" w:space="0"/>
              <w:bottom w:val="outset" w:color="000000" w:sz="6" w:space="0"/>
              <w:right w:val="outset" w:color="000000" w:sz="6" w:space="0"/>
            </w:tcBorders>
            <w:shd w:val="clear" w:color="auto" w:fill="auto"/>
            <w:vAlign w:val="top"/>
          </w:tcPr>
          <w:p>
            <w:pPr>
              <w:keepNext w:val="0"/>
              <w:keepLines w:val="0"/>
              <w:widowControl/>
              <w:suppressLineNumbers w:val="0"/>
              <w:spacing w:after="210" w:afterAutospacing="0" w:line="27" w:lineRule="atLeast"/>
              <w:jc w:val="left"/>
              <w:rPr>
                <w:rFonts w:hint="default" w:ascii="Arial" w:hAnsi="Arial" w:cs="Arial"/>
                <w:sz w:val="24"/>
                <w:szCs w:val="24"/>
              </w:rPr>
            </w:pPr>
            <w:r>
              <w:rPr>
                <w:rFonts w:hint="default" w:ascii="Arial" w:hAnsi="Arial" w:eastAsia="宋体" w:cs="Arial"/>
                <w:kern w:val="0"/>
                <w:sz w:val="24"/>
                <w:szCs w:val="24"/>
                <w:lang w:val="en-US" w:eastAsia="zh-CN" w:bidi="ar"/>
              </w:rPr>
              <w:t> </w:t>
            </w:r>
          </w:p>
        </w:tc>
        <w:tc>
          <w:tcPr>
            <w:tcW w:w="1249" w:type="dxa"/>
            <w:tcBorders>
              <w:top w:val="outset" w:color="000000" w:sz="6" w:space="0"/>
              <w:left w:val="outset" w:color="000000" w:sz="6" w:space="0"/>
              <w:bottom w:val="outset" w:color="000000" w:sz="6" w:space="0"/>
              <w:right w:val="outset" w:color="000000" w:sz="6" w:space="0"/>
            </w:tcBorders>
            <w:shd w:val="clear" w:color="auto" w:fill="auto"/>
            <w:vAlign w:val="top"/>
          </w:tcPr>
          <w:p>
            <w:pPr>
              <w:keepNext w:val="0"/>
              <w:keepLines w:val="0"/>
              <w:widowControl/>
              <w:suppressLineNumbers w:val="0"/>
              <w:spacing w:after="210" w:afterAutospacing="0" w:line="27" w:lineRule="atLeast"/>
              <w:jc w:val="left"/>
              <w:rPr>
                <w:rFonts w:hint="default" w:ascii="Arial" w:hAnsi="Arial" w:cs="Arial"/>
                <w:sz w:val="24"/>
                <w:szCs w:val="24"/>
              </w:rPr>
            </w:pPr>
            <w:r>
              <w:rPr>
                <w:rFonts w:hint="default" w:ascii="Arial" w:hAnsi="Arial" w:eastAsia="宋体" w:cs="Arial"/>
                <w:kern w:val="0"/>
                <w:sz w:val="24"/>
                <w:szCs w:val="24"/>
                <w:lang w:val="en-US" w:eastAsia="zh-CN" w:bidi="ar"/>
              </w:rPr>
              <w:t> </w:t>
            </w:r>
          </w:p>
        </w:tc>
        <w:tc>
          <w:tcPr>
            <w:tcW w:w="1524" w:type="dxa"/>
            <w:tcBorders>
              <w:top w:val="outset" w:color="000000" w:sz="6" w:space="0"/>
              <w:left w:val="outset" w:color="000000" w:sz="6" w:space="0"/>
              <w:bottom w:val="outset" w:color="000000" w:sz="6" w:space="0"/>
              <w:right w:val="outset" w:color="000000" w:sz="6" w:space="0"/>
            </w:tcBorders>
            <w:shd w:val="clear" w:color="auto" w:fill="auto"/>
            <w:vAlign w:val="top"/>
          </w:tcPr>
          <w:p>
            <w:pPr>
              <w:keepNext w:val="0"/>
              <w:keepLines w:val="0"/>
              <w:widowControl/>
              <w:suppressLineNumbers w:val="0"/>
              <w:spacing w:after="210" w:afterAutospacing="0" w:line="27" w:lineRule="atLeast"/>
              <w:jc w:val="left"/>
              <w:rPr>
                <w:rFonts w:hint="default" w:ascii="Arial" w:hAnsi="Arial" w:cs="Arial"/>
                <w:sz w:val="24"/>
                <w:szCs w:val="24"/>
              </w:rPr>
            </w:pPr>
            <w:r>
              <w:rPr>
                <w:rFonts w:hint="default" w:ascii="Arial" w:hAnsi="Arial" w:eastAsia="宋体" w:cs="Arial"/>
                <w:kern w:val="0"/>
                <w:sz w:val="24"/>
                <w:szCs w:val="24"/>
                <w:lang w:val="en-US" w:eastAsia="zh-CN" w:bidi="ar"/>
              </w:rPr>
              <w:t> </w:t>
            </w:r>
          </w:p>
        </w:tc>
        <w:tc>
          <w:tcPr>
            <w:tcW w:w="1901" w:type="dxa"/>
            <w:tcBorders>
              <w:top w:val="outset" w:color="000000" w:sz="6" w:space="0"/>
              <w:left w:val="outset" w:color="000000" w:sz="6" w:space="0"/>
              <w:bottom w:val="outset" w:color="000000" w:sz="6" w:space="0"/>
              <w:right w:val="outset" w:color="000000" w:sz="6" w:space="0"/>
            </w:tcBorders>
            <w:shd w:val="clear" w:color="auto" w:fill="auto"/>
            <w:vAlign w:val="top"/>
          </w:tcPr>
          <w:p>
            <w:pPr>
              <w:keepNext w:val="0"/>
              <w:keepLines w:val="0"/>
              <w:widowControl/>
              <w:suppressLineNumbers w:val="0"/>
              <w:spacing w:after="210" w:afterAutospacing="0" w:line="27" w:lineRule="atLeast"/>
              <w:jc w:val="left"/>
              <w:rPr>
                <w:rFonts w:hint="default" w:ascii="Arial" w:hAnsi="Arial" w:cs="Arial"/>
                <w:sz w:val="24"/>
                <w:szCs w:val="24"/>
              </w:rPr>
            </w:pPr>
            <w:r>
              <w:rPr>
                <w:rFonts w:hint="default" w:ascii="Arial" w:hAnsi="Arial" w:eastAsia="宋体" w:cs="Arial"/>
                <w:kern w:val="0"/>
                <w:sz w:val="24"/>
                <w:szCs w:val="24"/>
                <w:lang w:val="en-US" w:eastAsia="zh-CN" w:bidi="ar"/>
              </w:rPr>
              <w:t> </w:t>
            </w:r>
          </w:p>
        </w:tc>
        <w:tc>
          <w:tcPr>
            <w:tcW w:w="2600" w:type="dxa"/>
            <w:gridSpan w:val="2"/>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单位：元/人天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9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培训类别</w:t>
            </w:r>
          </w:p>
        </w:tc>
        <w:tc>
          <w:tcPr>
            <w:tcW w:w="124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住宿费</w:t>
            </w:r>
          </w:p>
        </w:tc>
        <w:tc>
          <w:tcPr>
            <w:tcW w:w="15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伙食费</w:t>
            </w:r>
          </w:p>
        </w:tc>
        <w:tc>
          <w:tcPr>
            <w:tcW w:w="19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场地、资料、交通费</w:t>
            </w:r>
          </w:p>
        </w:tc>
        <w:tc>
          <w:tcPr>
            <w:tcW w:w="156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其他费用</w:t>
            </w:r>
          </w:p>
        </w:tc>
        <w:tc>
          <w:tcPr>
            <w:tcW w:w="10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合计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9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一类培训</w:t>
            </w:r>
          </w:p>
        </w:tc>
        <w:tc>
          <w:tcPr>
            <w:tcW w:w="124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500</w:t>
            </w:r>
          </w:p>
        </w:tc>
        <w:tc>
          <w:tcPr>
            <w:tcW w:w="15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150</w:t>
            </w:r>
          </w:p>
        </w:tc>
        <w:tc>
          <w:tcPr>
            <w:tcW w:w="19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80</w:t>
            </w:r>
          </w:p>
        </w:tc>
        <w:tc>
          <w:tcPr>
            <w:tcW w:w="156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30</w:t>
            </w:r>
          </w:p>
        </w:tc>
        <w:tc>
          <w:tcPr>
            <w:tcW w:w="10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760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9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二类培训</w:t>
            </w:r>
          </w:p>
        </w:tc>
        <w:tc>
          <w:tcPr>
            <w:tcW w:w="124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400</w:t>
            </w:r>
          </w:p>
        </w:tc>
        <w:tc>
          <w:tcPr>
            <w:tcW w:w="15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150</w:t>
            </w:r>
          </w:p>
        </w:tc>
        <w:tc>
          <w:tcPr>
            <w:tcW w:w="19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70</w:t>
            </w:r>
          </w:p>
        </w:tc>
        <w:tc>
          <w:tcPr>
            <w:tcW w:w="156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30</w:t>
            </w:r>
          </w:p>
        </w:tc>
        <w:tc>
          <w:tcPr>
            <w:tcW w:w="10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650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9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三类培训</w:t>
            </w:r>
          </w:p>
        </w:tc>
        <w:tc>
          <w:tcPr>
            <w:tcW w:w="1249"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340</w:t>
            </w:r>
          </w:p>
        </w:tc>
        <w:tc>
          <w:tcPr>
            <w:tcW w:w="15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130</w:t>
            </w:r>
          </w:p>
        </w:tc>
        <w:tc>
          <w:tcPr>
            <w:tcW w:w="19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50</w:t>
            </w:r>
          </w:p>
        </w:tc>
        <w:tc>
          <w:tcPr>
            <w:tcW w:w="156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30</w:t>
            </w:r>
          </w:p>
        </w:tc>
        <w:tc>
          <w:tcPr>
            <w:tcW w:w="10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bidi w:val="0"/>
              <w:spacing w:after="210" w:afterAutospacing="0" w:line="27" w:lineRule="atLeast"/>
              <w:jc w:val="both"/>
              <w:rPr>
                <w:rFonts w:hint="default" w:ascii="Arial" w:hAnsi="Arial" w:cs="Arial"/>
                <w:sz w:val="24"/>
                <w:szCs w:val="24"/>
              </w:rPr>
            </w:pPr>
            <w:r>
              <w:rPr>
                <w:rFonts w:hint="default" w:ascii="Arial" w:hAnsi="Arial" w:cs="Arial"/>
                <w:sz w:val="24"/>
                <w:szCs w:val="24"/>
              </w:rPr>
              <w:t>　　550</w:t>
            </w:r>
          </w:p>
        </w:tc>
      </w:tr>
    </w:tbl>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一类培训是指参训人员主要为省部级及相应人员的培训项目。</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二类培训是指参训人员主要为司局级人员的培训项目。</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三类培训是指参训人员主要为处级及以下人员的培训项目。</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以其他人员为主的培训项目参照上述标准分类执行。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综合定额标准是相关费用开支的上限。各单位应在综合定额标准以内结算报销。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30天以内的培训按照综合定额标准控制；超过30天的培训，超过天数按照综合定额标准的70%控制。上述天数含报到撤离时间，报到和撤离时间分别不得超过1天。</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第十条  师资费在综合定额标准外单独核算。</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（一）讲课费（税后）执行以下标准：副高级技术职称专业人员每学时最高不超过500元，正高级技术职称专业人员每学时最高不超过1000元，院士、全国知名专家每学时一般不超过1500元。</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讲课费按实际发生的学时计算，每半天最多按4学时计算。</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其他人员讲课费参照上述标准执行。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同时为多班次一并授课的，不重复计算讲课费。</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（二）授课老师的城市间交通费按照中央和国家机关差旅费有关规定和标准执行，住宿费、伙食费按照本办法标准执行，原则上由培训举办单位承担。</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（三）培训工作确有需要从异地（含境外）邀请授课老师，路途时间较长的，经单位主要负责同志书面批准，讲课费可以适当增加。</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Fonts w:hint="default" w:ascii="Arial" w:hAnsi="Arial" w:eastAsia="宋体" w:cs="Arial"/>
          <w:sz w:val="24"/>
          <w:szCs w:val="24"/>
        </w:rPr>
        <w:t>　　</w:t>
      </w:r>
      <w:r>
        <w:rPr>
          <w:rStyle w:val="4"/>
          <w:rFonts w:hint="default" w:ascii="Arial" w:hAnsi="Arial" w:eastAsia="宋体" w:cs="Arial"/>
          <w:sz w:val="24"/>
          <w:szCs w:val="24"/>
        </w:rPr>
        <w:t>第四章 培训组织</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第十一条  培训实行中央和地方分级管理，各单位举办培训，原则上不得下延至市、县及以下。</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第十二条  各单位开展培训，应当在开支范围和标准内优先选择党校、行政学院、干部学院以及组织人事部门认可的其他培训机构承办。</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第十三条  组织培训的工作人员控制在参训人员数量的10%以内，最多不超过10人。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第十四条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培训住宿不得安排高档套房，不得额外配发洗漱用品；培训用餐不得上高档菜肴，不得提供烟酒；除必要的现场教学外，7日以内的培训不得组织调研、考察、参观。</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第十五条  邀请境外师资讲课，须严格按照有关外事管理规定，履行审批手续。境内师资能够满足培训需要的，不得邀请境外师资。</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第十六条  培训举办单位应当注重教学设计和质量评估，通过需求调研、课程设计和开发、专家论证、评估反馈等环节，推进培训工作科学化、精准化；注重运用大数据、“互联网+”等现代信息技术手段开展培训和管理。所需费用纳入部门预算予以保障。</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Fonts w:hint="default" w:ascii="Arial" w:hAnsi="Arial" w:eastAsia="宋体" w:cs="Arial"/>
          <w:sz w:val="24"/>
          <w:szCs w:val="24"/>
        </w:rPr>
        <w:t>　　</w:t>
      </w:r>
      <w:r>
        <w:rPr>
          <w:rStyle w:val="4"/>
          <w:rFonts w:hint="default" w:ascii="Arial" w:hAnsi="Arial" w:eastAsia="宋体" w:cs="Arial"/>
          <w:sz w:val="24"/>
          <w:szCs w:val="24"/>
        </w:rPr>
        <w:t>第五章 报销结算</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第十七条  报销培训费，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各单位财务部门应当严格按照规定审核培训费开支，对未履行审批备案程序的培训，以及超范围、超标准开支的费用不予报销。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第十八条  培训费的资金支付应当执行国库集中支付和公务卡管理有关制度规定。</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第十九条  培训费由培训举办单位承担，不得向参训人员收取任何费用。</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Fonts w:hint="default" w:ascii="Arial" w:hAnsi="Arial" w:eastAsia="宋体" w:cs="Arial"/>
          <w:sz w:val="24"/>
          <w:szCs w:val="24"/>
        </w:rPr>
        <w:t>　</w:t>
      </w:r>
      <w:r>
        <w:rPr>
          <w:rStyle w:val="4"/>
          <w:rFonts w:hint="default" w:ascii="Arial" w:hAnsi="Arial" w:eastAsia="宋体" w:cs="Arial"/>
          <w:sz w:val="24"/>
          <w:szCs w:val="24"/>
        </w:rPr>
        <w:t>　第六章 监督检查</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第二十条  各单位应当将非涉密培训的项目、内容、人数、经费等情况，以适当方式公开。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第二十一条  各单位应当于每年3月31日前将上年度培训计划执行情况（包括培训名称、对象、内容、时间、地点、参训人数、工作人员数、经费开支及列支渠道、培训成效、问题建议等）报送中央组织部、财政部、国家公务员局。</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第二十二条  中央组织部、财政部、国家公务员局等有关部门对各单位培训活动和培训费管理使用情况进行监督检查。主要内容包括：</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（一） 培训计划的编报是否符合规定；</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（二） 临时增加培训计划是否报单位主要负责同志审批；</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（三） 培训费开支范围和开支标准是否符合规定；</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（四） 培训费报销和支付是否符合规定；</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（五） 是否存在虚报培训费用的行为；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（六） 是否存在转嫁、摊派培训费用的行为；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（七） 是否存在向参训人员收费的行为；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（八） 是否存在奢侈浪费现象；</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（九） 是否存在其他违反本办法的行为。</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第二十三条  对于检查中发现的违反本办法的行为，由中央组织部、财政部、国家公务员局等有关部门责令改正，追回资金，并予以通报。对相关责任人员，按规定予以党纪政纪处分；涉嫌违法的，移交司法机关处理。</w:t>
      </w:r>
    </w:p>
    <w:p>
      <w:pPr>
        <w:pStyle w:val="2"/>
        <w:keepNext w:val="0"/>
        <w:keepLines w:val="0"/>
        <w:widowControl/>
        <w:suppressLineNumbers w:val="0"/>
        <w:spacing w:before="0" w:beforeAutospacing="1" w:after="210" w:afterAutospacing="0" w:line="27" w:lineRule="atLeast"/>
        <w:ind w:left="0" w:right="0"/>
        <w:jc w:val="center"/>
        <w:rPr>
          <w:rFonts w:hint="default" w:ascii="Arial" w:hAnsi="Arial" w:cs="Arial"/>
          <w:sz w:val="24"/>
          <w:szCs w:val="24"/>
        </w:rPr>
      </w:pPr>
      <w:r>
        <w:rPr>
          <w:rFonts w:hint="default" w:ascii="Arial" w:hAnsi="Arial" w:eastAsia="宋体" w:cs="Arial"/>
          <w:sz w:val="24"/>
          <w:szCs w:val="24"/>
        </w:rPr>
        <w:t>　　</w:t>
      </w:r>
      <w:r>
        <w:rPr>
          <w:rStyle w:val="4"/>
          <w:rFonts w:hint="default" w:ascii="Arial" w:hAnsi="Arial" w:eastAsia="宋体" w:cs="Arial"/>
          <w:sz w:val="24"/>
          <w:szCs w:val="24"/>
        </w:rPr>
        <w:t>第七章 附则</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第二十四条  各单位可以按照本办法，结合本单位业务特点和工作实际，制定培训费管理具体规定。</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第二十五条  中央组织部、国家公务员局组织的调训和统一培训，有关部门组织的援外培训，不适用本办法，按有关规定执行。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第二十六条  中央事业单位培训费管理参照本办法执行。</w:t>
      </w:r>
    </w:p>
    <w:p>
      <w:pPr>
        <w:pStyle w:val="2"/>
        <w:keepNext w:val="0"/>
        <w:keepLines w:val="0"/>
        <w:widowControl/>
        <w:suppressLineNumbers w:val="0"/>
        <w:spacing w:before="0" w:beforeAutospacing="1" w:after="210" w:afterAutospacing="0" w:line="27" w:lineRule="atLeast"/>
        <w:ind w:left="0" w:right="0"/>
        <w:jc w:val="both"/>
        <w:rPr>
          <w:rFonts w:hint="default" w:ascii="Arial" w:hAnsi="Arial" w:cs="Arial"/>
          <w:sz w:val="24"/>
          <w:szCs w:val="24"/>
        </w:rPr>
      </w:pPr>
      <w:r>
        <w:rPr>
          <w:rFonts w:hint="default" w:ascii="Arial" w:hAnsi="Arial" w:eastAsia="宋体" w:cs="Arial"/>
          <w:sz w:val="24"/>
          <w:szCs w:val="24"/>
        </w:rPr>
        <w:t>　　第二十七条  本办法由财政部会同中央组织部、国家公务员局负责解释。</w:t>
      </w:r>
    </w:p>
    <w:p>
      <w:r>
        <w:rPr>
          <w:rFonts w:hint="default" w:ascii="Arial" w:hAnsi="Arial" w:eastAsia="宋体" w:cs="Arial"/>
          <w:sz w:val="24"/>
          <w:szCs w:val="24"/>
        </w:rPr>
        <w:t>　　第二十八条  本办法自2017年1月1日起施行。《中央和国家机关培训费管理办法》（财行〔2013〕523号）同时废止。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D59A7"/>
    <w:rsid w:val="3FDD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Administrator</dc:creator>
  <cp:lastModifiedBy>Administrator</cp:lastModifiedBy>
  <dcterms:modified xsi:type="dcterms:W3CDTF">2017-11-15T01:37:42Z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