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after="210" w:afterAutospacing="0" w:line="27" w:lineRule="atLeast"/>
        <w:ind w:left="0" w:firstLine="0"/>
        <w:jc w:val="center"/>
        <w:rPr>
          <w:rFonts w:hint="default" w:ascii="Arial" w:hAnsi="Arial" w:cs="Arial"/>
          <w:b w:val="0"/>
          <w:i w:val="0"/>
          <w:caps w:val="0"/>
          <w:color w:val="000000"/>
          <w:spacing w:val="0"/>
          <w:sz w:val="24"/>
          <w:szCs w:val="24"/>
          <w:shd w:val="clear" w:fill="FFFFFF"/>
        </w:rPr>
      </w:pPr>
      <w:r>
        <w:rPr>
          <w:rFonts w:hint="eastAsia" w:ascii="宋体" w:hAnsi="宋体" w:eastAsia="宋体" w:cs="宋体"/>
          <w:b/>
          <w:i w:val="0"/>
          <w:caps w:val="0"/>
          <w:color w:val="185895"/>
          <w:spacing w:val="0"/>
          <w:sz w:val="36"/>
          <w:szCs w:val="36"/>
          <w:shd w:val="clear" w:fill="FFFFFF"/>
        </w:rPr>
        <w:t>关于印发《</w:t>
      </w:r>
      <w:bookmarkStart w:id="0" w:name="_GoBack"/>
      <w:r>
        <w:rPr>
          <w:rFonts w:hint="eastAsia" w:ascii="宋体" w:hAnsi="宋体" w:eastAsia="宋体" w:cs="宋体"/>
          <w:b/>
          <w:i w:val="0"/>
          <w:caps w:val="0"/>
          <w:color w:val="185895"/>
          <w:spacing w:val="0"/>
          <w:sz w:val="36"/>
          <w:szCs w:val="36"/>
          <w:shd w:val="clear" w:fill="FFFFFF"/>
        </w:rPr>
        <w:t>基本建设项目建设成本管理规定</w:t>
      </w:r>
      <w:bookmarkEnd w:id="0"/>
      <w:r>
        <w:rPr>
          <w:rFonts w:hint="eastAsia" w:ascii="宋体" w:hAnsi="宋体" w:eastAsia="宋体" w:cs="宋体"/>
          <w:b/>
          <w:i w:val="0"/>
          <w:caps w:val="0"/>
          <w:color w:val="185895"/>
          <w:spacing w:val="0"/>
          <w:sz w:val="36"/>
          <w:szCs w:val="36"/>
          <w:shd w:val="clear" w:fill="FFFFFF"/>
        </w:rPr>
        <w:t>》的通知</w:t>
      </w:r>
    </w:p>
    <w:p>
      <w:pPr>
        <w:pStyle w:val="2"/>
        <w:keepNext w:val="0"/>
        <w:keepLines w:val="0"/>
        <w:widowControl/>
        <w:suppressLineNumbers w:val="0"/>
        <w:shd w:val="clear" w:fill="FFFFFF"/>
        <w:spacing w:after="210" w:afterAutospacing="0" w:line="27" w:lineRule="atLeast"/>
        <w:ind w:left="0" w:firstLine="0"/>
        <w:jc w:val="center"/>
        <w:rPr>
          <w:rFonts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财建[2016]504号</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党中央有关部门，国务院各部委、各直属机构，军委后勤保障部，武警总部，全国人大常委会办公厅，全国政协办公厅，高法院，高检院，各民主党派中央，有关人民团体，各中央管理企业，各省、自治区、计划单列市财政厅（局），新疆生产建设兵团财务局：</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为推动各部门、各地区进一步加强基本建设成本核算管理，提高资金使用效益，针对基本建设成本管理中反映出的主要问题，依据《基本建设财务规则》，现印发《基本建设项目建设成本管理规定》，请认真贯彻执行。</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附件：1.基本建设项目建设成本管理规定</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2.项目建设管理费总额控制数费率表</w:t>
      </w:r>
    </w:p>
    <w:p>
      <w:pPr>
        <w:pStyle w:val="2"/>
        <w:keepNext w:val="0"/>
        <w:keepLines w:val="0"/>
        <w:widowControl/>
        <w:suppressLineNumbers w:val="0"/>
        <w:shd w:val="clear" w:fill="FFFFFF"/>
        <w:spacing w:after="210" w:afterAutospacing="0" w:line="27" w:lineRule="atLeast"/>
        <w:ind w:left="0" w:firstLine="0"/>
        <w:jc w:val="righ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财 政 部</w:t>
      </w:r>
    </w:p>
    <w:p>
      <w:pPr>
        <w:pStyle w:val="2"/>
        <w:keepNext w:val="0"/>
        <w:keepLines w:val="0"/>
        <w:widowControl/>
        <w:suppressLineNumbers w:val="0"/>
        <w:shd w:val="clear" w:fill="FFFFFF"/>
        <w:spacing w:after="210" w:afterAutospacing="0" w:line="27" w:lineRule="atLeast"/>
        <w:ind w:left="0" w:firstLine="0"/>
        <w:jc w:val="righ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2016年7月6日</w:t>
      </w:r>
    </w:p>
    <w:p>
      <w:pPr>
        <w:pStyle w:val="2"/>
        <w:keepNext w:val="0"/>
        <w:keepLines w:val="0"/>
        <w:widowControl/>
        <w:suppressLineNumbers w:val="0"/>
        <w:shd w:val="clear" w:fill="FFFFFF"/>
        <w:spacing w:after="210" w:afterAutospacing="0" w:line="27" w:lineRule="atLeast"/>
        <w:ind w:left="0" w:firstLine="0"/>
        <w:jc w:val="righ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附件1：</w:t>
      </w:r>
    </w:p>
    <w:p>
      <w:pPr>
        <w:pStyle w:val="2"/>
        <w:keepNext w:val="0"/>
        <w:keepLines w:val="0"/>
        <w:widowControl/>
        <w:suppressLineNumbers w:val="0"/>
        <w:shd w:val="clear" w:fill="FFFFFF"/>
        <w:spacing w:after="210" w:afterAutospacing="0" w:line="27" w:lineRule="atLeast"/>
        <w:ind w:left="0" w:firstLine="0"/>
        <w:jc w:val="center"/>
        <w:rPr>
          <w:rFonts w:hint="default" w:ascii="Arial" w:hAnsi="Arial" w:cs="Arial"/>
          <w:b w:val="0"/>
          <w:i w:val="0"/>
          <w:caps w:val="0"/>
          <w:color w:val="000000"/>
          <w:spacing w:val="0"/>
          <w:sz w:val="24"/>
          <w:szCs w:val="24"/>
        </w:rPr>
      </w:pPr>
      <w:r>
        <w:rPr>
          <w:rStyle w:val="4"/>
          <w:rFonts w:hint="default" w:ascii="Arial" w:hAnsi="Arial" w:cs="Arial"/>
          <w:i w:val="0"/>
          <w:caps w:val="0"/>
          <w:color w:val="000000"/>
          <w:spacing w:val="0"/>
          <w:sz w:val="24"/>
          <w:szCs w:val="24"/>
          <w:shd w:val="clear" w:fill="FFFFFF"/>
        </w:rPr>
        <w:t>基本建设项目建设成本管理规定</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第一条  为了规范基本建设项目建设成本管理，提高建设资金使用效益，依据《基本建设财务规则》（财政部令第81号），制定本规定。</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第二条　建筑安装工程投资支出是指基本建设项目（以下简称项目）建设单位按照批准的建设内容发生的建筑工程和安装工程的实际成本，其中不包括被安装设备本身的价值，以及按照合同规定支付给施工单位的预付备料款和预付工程款。</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第三条　设备投资支出是指项目建设单位按照批准的建设内容发生的各种设备的实际成本（不包括工程抵扣的增值税进项税额），包括需要安装设备、不需要安装设备和为生产准备的不够固定资产标准的工具、器具的实际成本。</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需要安装设备是指必须将其整体或几个部位装配起来，安装在基础上或建筑物支架上才能使用的设备。不需要安装设备是指不必固定在一定位置或支架上就可以使用的设备。</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第四条　待摊投资支出是指项目建设单位按照批准的建设内容发生的，应当分摊计入相关资产价值的各项费用和税金支出。主要包括：</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（一）勘察费、设计费、研究试验费、可行性研究费及项目其他前期费用；</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（二）土地征用及迁移补偿费、土地复垦及补偿费、森林植被恢复费及其他为取得或租用土地使用权而发生的费用；</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（三）土地使用税、耕地占用税、契税、车船税、印花税及按规定缴纳的其他税费；</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（四）项目建设管理费、代建管理费、临时设施费、监理费、招标投标费、社会中介机构审查费及其他管理性质的费用；</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（五）项目建设期间发生的各类借款利息、债券利息、贷款评估费、国外借款手续费及承诺费、汇兑损益、债券发行费用及其他债务利息支出或融资费用；</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（六）工程检测费、设备检验费、负荷联合试车费及其他检验检测类费用；</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（七）固定资产损失、器材处理亏损、设备盘亏及毁损、报废工程净损失及其他损失；</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（八）系统集成等信息工程的费用支出；</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（九）其他待摊投资性质支出。</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项目在建设期间的建设资金存款利息收入冲减债务利息支出，利息收入超过利息支出的部分，冲减待摊投资总支出。</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第五条  项目建设管理费是指项目建设单位从项目筹建之日起至办理竣工财务决算之日止发生的管理性质的支出。包括：不在原单位发工资的工作人员工资及相关费用、办公费、办公场地租用费、差旅交通费、劳动保护费、工具用具使用费、固定资产使用费、招募生产工人费、技术图书资料费（含软件）、业务招待费、施工现场津贴、竣工验收费和其他管理性质开支。</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项目建设单位应当严格执行《党政机关厉行节约反对浪费条例》，严格控制项目建设管理费。</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第六条 行政事业单位项目建设管理费实行总额控制，分年度据实列支。总额控制数以项目审批部门批准的项目总投资（经批准的动态投资，不含项目建设管理费）扣除土地征用、迁移补偿等为取得或租用土地使用权而发生的费用为基数分档计算。具体计算方法见附件。</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建设地点分散、点多面广、建设工期长以及使用新技术、新工艺等的项目，项目建设管理费确需超过上述开支标准的，中央级项目,应当事前报项目主管部门审核批准，并报财政部备案，未经批准的，超标准发生的项目建设管理费由项目建设单位用自有资金弥补；地方级项目，由同级财政部门确定审核批准的要求和程序。</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施工现场管理人员津贴标准比照当地财政部门制定的差旅费标准执行；一般不得发生业务招待费，确需列支的，项目业务招待费支出应当严格按照国家有关规定执行，并不得超过项目建设管理费的5%。</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第七条 使用财政资金的国有和国有控股企业的项目建设管理费，比照第六条规定执行。国有和国有控股企业经营性项目的项目资本中，财政资金所占比例未超过50%的项目建设管理费可不执行第六条规定。</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第八条  政府设立（或授权）、政府招标产生的代建制项目，代建管理费由同级财政部门根据代建内容和要求，按照不高于本规定项目建设管理费标准核定，计入项目建设成本。</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实行代建制管理的项目，一般不得同时列支代建管理费和项目建设管理费，确需同时发生的，两项费用之和不得高于本规定的项目建设管理费限额。</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建设地点分散、点多面广以及使用新技术、新工艺等的项目，代建管理费确需超过本规定确定的开支标准的，行政单位和使用财政资金建设的事业单位中央项目,应当事前报项目主管部门审核批准，并报财政部备案；地方项目，由同级财政部门确定审核批准的要求和程序。</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代建管理费核定和支付应当与工程进度、建设质量结合，与代建内容、代建绩效挂钩，实行奖优罚劣。同时满足按时完成项目代建任务、工程质量优良、项目投资控制在批准概算总投资范围3个条件的，可以支付代建单位利润或奖励资金，代建单位利润或奖励资金一般不得超过代建管理费的10%，需使用财政资金支付的，应当事前报同级财政部门审核批准；未完成代建任务的，应当扣减代建管理费。</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第九条　项目单项工程报废净损失计入待摊投资支出。</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单项工程报废应当经有关部门或专业机构鉴定。非经营性项目以及使用财政资金所占比例超过项目资本50%的经营性项目，发生的单项工程报废经鉴定后，报项目竣工财务决算批复部门审核批准。</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因设计单位、施工单位、供货单位等原因造成的单项工程报废损失，由责任单位承担。</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第十条　其他投资支出是指项目建设单位按照批准的项目建设内容发生的房屋购置支出，基本畜禽、林木等的购置、饲养、培育支出，办公生活用家具、器具购置支出，软件研发及不能计入设备投资的软件购置等支出。</w:t>
      </w:r>
    </w:p>
    <w:p>
      <w:pPr>
        <w:pStyle w:val="2"/>
        <w:keepNext w:val="0"/>
        <w:keepLines w:val="0"/>
        <w:widowControl/>
        <w:suppressLineNumbers w:val="0"/>
        <w:shd w:val="clear" w:fill="FFFFFF"/>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第十一条  本规定自2016年9月1日起施行。《财政部关于切实加强政府投资项目代建制财政财务管理有关问题的指导意见》(财建〔2004〕300号)同时废止。</w:t>
      </w:r>
    </w:p>
    <w:tbl>
      <w:tblPr>
        <w:tblW w:w="8364"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30" w:type="dxa"/>
          <w:left w:w="30" w:type="dxa"/>
          <w:bottom w:w="30" w:type="dxa"/>
          <w:right w:w="30" w:type="dxa"/>
        </w:tblCellMar>
      </w:tblPr>
      <w:tblGrid>
        <w:gridCol w:w="1656"/>
        <w:gridCol w:w="1025"/>
        <w:gridCol w:w="1227"/>
        <w:gridCol w:w="445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30" w:type="dxa"/>
            <w:left w:w="30" w:type="dxa"/>
            <w:bottom w:w="30" w:type="dxa"/>
            <w:right w:w="30" w:type="dxa"/>
          </w:tblCellMar>
        </w:tblPrEx>
        <w:tc>
          <w:tcPr>
            <w:tcW w:w="16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after="210" w:afterAutospacing="0" w:line="27" w:lineRule="atLeast"/>
              <w:jc w:val="left"/>
              <w:rPr>
                <w:rFonts w:hint="default" w:ascii="Arial" w:hAnsi="Arial" w:cs="Arial"/>
                <w:sz w:val="24"/>
                <w:szCs w:val="24"/>
              </w:rPr>
            </w:pPr>
            <w:r>
              <w:rPr>
                <w:rFonts w:hint="default" w:ascii="Arial" w:hAnsi="Arial" w:cs="Arial"/>
                <w:b w:val="0"/>
                <w:i w:val="0"/>
                <w:caps w:val="0"/>
                <w:color w:val="000000"/>
                <w:spacing w:val="0"/>
                <w:sz w:val="24"/>
                <w:szCs w:val="24"/>
              </w:rPr>
              <w:t>附件2</w:t>
            </w:r>
          </w:p>
        </w:tc>
        <w:tc>
          <w:tcPr>
            <w:tcW w:w="10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eastAsia="宋体" w:cs="Arial"/>
                <w:b w:val="0"/>
                <w:i w:val="0"/>
                <w:caps w:val="0"/>
                <w:color w:val="000000"/>
                <w:spacing w:val="0"/>
                <w:kern w:val="0"/>
                <w:sz w:val="24"/>
                <w:szCs w:val="24"/>
                <w:lang w:val="en-US" w:eastAsia="zh-CN" w:bidi="ar"/>
              </w:rPr>
              <w:t> </w:t>
            </w:r>
          </w:p>
        </w:tc>
        <w:tc>
          <w:tcPr>
            <w:tcW w:w="1227"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eastAsia="宋体" w:cs="Arial"/>
                <w:b w:val="0"/>
                <w:i w:val="0"/>
                <w:caps w:val="0"/>
                <w:color w:val="000000"/>
                <w:spacing w:val="0"/>
                <w:kern w:val="0"/>
                <w:sz w:val="24"/>
                <w:szCs w:val="24"/>
                <w:lang w:val="en-US" w:eastAsia="zh-CN" w:bidi="ar"/>
              </w:rPr>
              <w:t> </w:t>
            </w:r>
          </w:p>
        </w:tc>
        <w:tc>
          <w:tcPr>
            <w:tcW w:w="44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eastAsia="宋体" w:cs="Arial"/>
                <w:b w:val="0"/>
                <w:i w:val="0"/>
                <w:caps w:val="0"/>
                <w:color w:val="000000"/>
                <w:spacing w:val="0"/>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364"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after="210" w:afterAutospacing="0" w:line="27" w:lineRule="atLeast"/>
              <w:jc w:val="center"/>
              <w:rPr>
                <w:rFonts w:hint="default" w:ascii="Arial" w:hAnsi="Arial" w:cs="Arial"/>
                <w:sz w:val="24"/>
                <w:szCs w:val="24"/>
              </w:rPr>
            </w:pPr>
            <w:r>
              <w:rPr>
                <w:rFonts w:hint="default" w:ascii="Arial" w:hAnsi="Arial" w:cs="Arial"/>
                <w:b w:val="0"/>
                <w:i w:val="0"/>
                <w:caps w:val="0"/>
                <w:color w:val="000000"/>
                <w:spacing w:val="0"/>
                <w:sz w:val="24"/>
                <w:szCs w:val="24"/>
              </w:rPr>
              <w:t>项目建设管理费总额控制数费率表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6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eastAsia="宋体" w:cs="Arial"/>
                <w:b w:val="0"/>
                <w:i w:val="0"/>
                <w:caps w:val="0"/>
                <w:color w:val="000000"/>
                <w:spacing w:val="0"/>
                <w:kern w:val="0"/>
                <w:sz w:val="24"/>
                <w:szCs w:val="24"/>
                <w:lang w:val="en-US" w:eastAsia="zh-CN" w:bidi="ar"/>
              </w:rPr>
              <w:t> </w:t>
            </w:r>
          </w:p>
        </w:tc>
        <w:tc>
          <w:tcPr>
            <w:tcW w:w="10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eastAsia="宋体" w:cs="Arial"/>
                <w:b w:val="0"/>
                <w:i w:val="0"/>
                <w:caps w:val="0"/>
                <w:color w:val="000000"/>
                <w:spacing w:val="0"/>
                <w:kern w:val="0"/>
                <w:sz w:val="24"/>
                <w:szCs w:val="24"/>
                <w:lang w:val="en-US" w:eastAsia="zh-CN" w:bidi="ar"/>
              </w:rPr>
              <w:t> </w:t>
            </w:r>
          </w:p>
        </w:tc>
        <w:tc>
          <w:tcPr>
            <w:tcW w:w="1227"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after="210" w:afterAutospacing="0" w:line="27" w:lineRule="atLeast"/>
              <w:ind w:left="0" w:firstLine="0"/>
              <w:jc w:val="left"/>
              <w:rPr>
                <w:rFonts w:hint="default" w:ascii="Arial" w:hAnsi="Arial" w:cs="Arial"/>
                <w:b w:val="0"/>
                <w:i w:val="0"/>
                <w:caps w:val="0"/>
                <w:color w:val="000000"/>
                <w:spacing w:val="0"/>
                <w:sz w:val="24"/>
                <w:szCs w:val="24"/>
              </w:rPr>
            </w:pPr>
            <w:r>
              <w:rPr>
                <w:rFonts w:hint="default" w:ascii="Arial" w:hAnsi="Arial" w:eastAsia="宋体" w:cs="Arial"/>
                <w:b w:val="0"/>
                <w:i w:val="0"/>
                <w:caps w:val="0"/>
                <w:color w:val="000000"/>
                <w:spacing w:val="0"/>
                <w:kern w:val="0"/>
                <w:sz w:val="24"/>
                <w:szCs w:val="24"/>
                <w:lang w:val="en-US" w:eastAsia="zh-CN" w:bidi="ar"/>
              </w:rPr>
              <w:t> </w:t>
            </w:r>
          </w:p>
        </w:tc>
        <w:tc>
          <w:tcPr>
            <w:tcW w:w="44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after="210" w:afterAutospacing="0" w:line="27" w:lineRule="atLeast"/>
              <w:jc w:val="right"/>
              <w:rPr>
                <w:rFonts w:hint="default" w:ascii="Arial" w:hAnsi="Arial" w:cs="Arial"/>
                <w:sz w:val="24"/>
                <w:szCs w:val="24"/>
              </w:rPr>
            </w:pPr>
            <w:r>
              <w:rPr>
                <w:rFonts w:hint="default" w:ascii="Arial" w:hAnsi="Arial" w:cs="Arial"/>
                <w:b w:val="0"/>
                <w:i w:val="0"/>
                <w:caps w:val="0"/>
                <w:color w:val="000000"/>
                <w:spacing w:val="0"/>
                <w:sz w:val="24"/>
                <w:szCs w:val="24"/>
              </w:rPr>
              <w:t>单位：万元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656"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after="210" w:afterAutospacing="0" w:line="27" w:lineRule="atLeast"/>
              <w:jc w:val="center"/>
              <w:rPr>
                <w:rFonts w:hint="default" w:ascii="Arial" w:hAnsi="Arial" w:cs="Arial"/>
                <w:sz w:val="24"/>
                <w:szCs w:val="24"/>
              </w:rPr>
            </w:pPr>
            <w:r>
              <w:rPr>
                <w:rFonts w:hint="default" w:ascii="Arial" w:hAnsi="Arial" w:cs="Arial"/>
                <w:b w:val="0"/>
                <w:i w:val="0"/>
                <w:caps w:val="0"/>
                <w:color w:val="000000"/>
                <w:spacing w:val="0"/>
                <w:sz w:val="24"/>
                <w:szCs w:val="24"/>
              </w:rPr>
              <w:t>工程总概算</w:t>
            </w:r>
          </w:p>
        </w:tc>
        <w:tc>
          <w:tcPr>
            <w:tcW w:w="102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after="210" w:afterAutospacing="0" w:line="27" w:lineRule="atLeast"/>
              <w:jc w:val="center"/>
              <w:rPr>
                <w:rFonts w:hint="default" w:ascii="Arial" w:hAnsi="Arial" w:cs="Arial"/>
                <w:sz w:val="24"/>
                <w:szCs w:val="24"/>
              </w:rPr>
            </w:pPr>
            <w:r>
              <w:rPr>
                <w:rFonts w:hint="default" w:ascii="Arial" w:hAnsi="Arial" w:cs="Arial"/>
                <w:b w:val="0"/>
                <w:i w:val="0"/>
                <w:caps w:val="0"/>
                <w:color w:val="000000"/>
                <w:spacing w:val="0"/>
                <w:sz w:val="24"/>
                <w:szCs w:val="24"/>
              </w:rPr>
              <w:t>费率(％)</w:t>
            </w:r>
          </w:p>
        </w:tc>
        <w:tc>
          <w:tcPr>
            <w:tcW w:w="5683"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after="210" w:afterAutospacing="0" w:line="27" w:lineRule="atLeast"/>
              <w:jc w:val="center"/>
              <w:rPr>
                <w:rFonts w:hint="default" w:ascii="Arial" w:hAnsi="Arial" w:cs="Arial"/>
                <w:sz w:val="24"/>
                <w:szCs w:val="24"/>
              </w:rPr>
            </w:pPr>
            <w:r>
              <w:rPr>
                <w:rFonts w:hint="default" w:ascii="Arial" w:hAnsi="Arial" w:cs="Arial"/>
                <w:b w:val="0"/>
                <w:i w:val="0"/>
                <w:caps w:val="0"/>
                <w:color w:val="000000"/>
                <w:spacing w:val="0"/>
                <w:sz w:val="24"/>
                <w:szCs w:val="24"/>
              </w:rPr>
              <w:t>算    例</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65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default" w:ascii="Arial" w:hAnsi="Arial" w:cs="Arial"/>
                <w:b w:val="0"/>
                <w:i w:val="0"/>
                <w:caps w:val="0"/>
                <w:color w:val="000000"/>
                <w:spacing w:val="0"/>
                <w:sz w:val="24"/>
                <w:szCs w:val="24"/>
              </w:rPr>
            </w:pPr>
          </w:p>
        </w:tc>
        <w:tc>
          <w:tcPr>
            <w:tcW w:w="102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default" w:ascii="Arial" w:hAnsi="Arial" w:cs="Arial"/>
                <w:b w:val="0"/>
                <w:i w:val="0"/>
                <w:caps w:val="0"/>
                <w:color w:val="000000"/>
                <w:spacing w:val="0"/>
                <w:sz w:val="24"/>
                <w:szCs w:val="24"/>
              </w:rPr>
            </w:pPr>
          </w:p>
        </w:tc>
        <w:tc>
          <w:tcPr>
            <w:tcW w:w="122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after="210" w:afterAutospacing="0" w:line="27" w:lineRule="atLeast"/>
              <w:jc w:val="left"/>
              <w:rPr>
                <w:rFonts w:hint="default" w:ascii="Arial" w:hAnsi="Arial" w:cs="Arial"/>
                <w:sz w:val="24"/>
                <w:szCs w:val="24"/>
              </w:rPr>
            </w:pPr>
            <w:r>
              <w:rPr>
                <w:rFonts w:hint="default" w:ascii="Arial" w:hAnsi="Arial" w:cs="Arial"/>
                <w:b w:val="0"/>
                <w:i w:val="0"/>
                <w:caps w:val="0"/>
                <w:color w:val="000000"/>
                <w:spacing w:val="0"/>
                <w:sz w:val="24"/>
                <w:szCs w:val="24"/>
              </w:rPr>
              <w:t>工程总概算</w:t>
            </w:r>
          </w:p>
        </w:tc>
        <w:tc>
          <w:tcPr>
            <w:tcW w:w="44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after="210" w:afterAutospacing="0" w:line="27" w:lineRule="atLeast"/>
              <w:jc w:val="left"/>
              <w:rPr>
                <w:rFonts w:hint="default" w:ascii="Arial" w:hAnsi="Arial" w:cs="Arial"/>
                <w:sz w:val="24"/>
                <w:szCs w:val="24"/>
              </w:rPr>
            </w:pPr>
            <w:r>
              <w:rPr>
                <w:rFonts w:hint="default" w:ascii="Arial" w:hAnsi="Arial" w:cs="Arial"/>
                <w:b w:val="0"/>
                <w:i w:val="0"/>
                <w:caps w:val="0"/>
                <w:color w:val="000000"/>
                <w:spacing w:val="0"/>
                <w:sz w:val="24"/>
                <w:szCs w:val="24"/>
              </w:rPr>
              <w:t>项目建设管理费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6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after="210" w:afterAutospacing="0" w:line="27" w:lineRule="atLeast"/>
              <w:jc w:val="left"/>
              <w:rPr>
                <w:rFonts w:hint="default" w:ascii="Arial" w:hAnsi="Arial" w:cs="Arial"/>
                <w:sz w:val="24"/>
                <w:szCs w:val="24"/>
              </w:rPr>
            </w:pPr>
            <w:r>
              <w:rPr>
                <w:rFonts w:hint="default" w:ascii="Arial" w:hAnsi="Arial" w:cs="Arial"/>
                <w:b w:val="0"/>
                <w:i w:val="0"/>
                <w:caps w:val="0"/>
                <w:color w:val="000000"/>
                <w:spacing w:val="0"/>
                <w:sz w:val="24"/>
                <w:szCs w:val="24"/>
              </w:rPr>
              <w:t>1000以下</w:t>
            </w:r>
          </w:p>
        </w:tc>
        <w:tc>
          <w:tcPr>
            <w:tcW w:w="10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after="210" w:afterAutospacing="0" w:line="27" w:lineRule="atLeast"/>
              <w:jc w:val="right"/>
              <w:rPr>
                <w:rFonts w:hint="default" w:ascii="Arial" w:hAnsi="Arial" w:cs="Arial"/>
                <w:sz w:val="24"/>
                <w:szCs w:val="24"/>
              </w:rPr>
            </w:pPr>
            <w:r>
              <w:rPr>
                <w:rFonts w:hint="default" w:ascii="Arial" w:hAnsi="Arial" w:cs="Arial"/>
                <w:b w:val="0"/>
                <w:i w:val="0"/>
                <w:caps w:val="0"/>
                <w:color w:val="000000"/>
                <w:spacing w:val="0"/>
                <w:sz w:val="24"/>
                <w:szCs w:val="24"/>
              </w:rPr>
              <w:t>2</w:t>
            </w:r>
          </w:p>
        </w:tc>
        <w:tc>
          <w:tcPr>
            <w:tcW w:w="122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after="210" w:afterAutospacing="0" w:line="27" w:lineRule="atLeast"/>
              <w:jc w:val="right"/>
              <w:rPr>
                <w:rFonts w:hint="default" w:ascii="Arial" w:hAnsi="Arial" w:cs="Arial"/>
                <w:sz w:val="24"/>
                <w:szCs w:val="24"/>
              </w:rPr>
            </w:pPr>
            <w:r>
              <w:rPr>
                <w:rFonts w:hint="default" w:ascii="Arial" w:hAnsi="Arial" w:cs="Arial"/>
                <w:b w:val="0"/>
                <w:i w:val="0"/>
                <w:caps w:val="0"/>
                <w:color w:val="000000"/>
                <w:spacing w:val="0"/>
                <w:sz w:val="24"/>
                <w:szCs w:val="24"/>
              </w:rPr>
              <w:t>1000</w:t>
            </w:r>
          </w:p>
        </w:tc>
        <w:tc>
          <w:tcPr>
            <w:tcW w:w="44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after="210" w:afterAutospacing="0" w:line="27" w:lineRule="atLeast"/>
              <w:jc w:val="left"/>
              <w:rPr>
                <w:rFonts w:hint="default" w:ascii="Arial" w:hAnsi="Arial" w:cs="Arial"/>
                <w:sz w:val="24"/>
                <w:szCs w:val="24"/>
              </w:rPr>
            </w:pPr>
            <w:r>
              <w:rPr>
                <w:rFonts w:hint="default" w:ascii="Arial" w:hAnsi="Arial" w:cs="Arial"/>
                <w:b w:val="0"/>
                <w:i w:val="0"/>
                <w:caps w:val="0"/>
                <w:color w:val="000000"/>
                <w:spacing w:val="0"/>
                <w:sz w:val="24"/>
                <w:szCs w:val="24"/>
              </w:rPr>
              <w:t>1000×2％＝20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6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after="210" w:afterAutospacing="0" w:line="27" w:lineRule="atLeast"/>
              <w:jc w:val="left"/>
              <w:rPr>
                <w:rFonts w:hint="default" w:ascii="Arial" w:hAnsi="Arial" w:cs="Arial"/>
                <w:sz w:val="24"/>
                <w:szCs w:val="24"/>
              </w:rPr>
            </w:pPr>
            <w:r>
              <w:rPr>
                <w:rFonts w:hint="default" w:ascii="Arial" w:hAnsi="Arial" w:cs="Arial"/>
                <w:b w:val="0"/>
                <w:i w:val="0"/>
                <w:caps w:val="0"/>
                <w:color w:val="000000"/>
                <w:spacing w:val="0"/>
                <w:sz w:val="24"/>
                <w:szCs w:val="24"/>
              </w:rPr>
              <w:t>1001－5000</w:t>
            </w:r>
          </w:p>
        </w:tc>
        <w:tc>
          <w:tcPr>
            <w:tcW w:w="10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after="210" w:afterAutospacing="0" w:line="27" w:lineRule="atLeast"/>
              <w:jc w:val="right"/>
              <w:rPr>
                <w:rFonts w:hint="default" w:ascii="Arial" w:hAnsi="Arial" w:cs="Arial"/>
                <w:sz w:val="24"/>
                <w:szCs w:val="24"/>
              </w:rPr>
            </w:pPr>
            <w:r>
              <w:rPr>
                <w:rFonts w:hint="default" w:ascii="Arial" w:hAnsi="Arial" w:cs="Arial"/>
                <w:b w:val="0"/>
                <w:i w:val="0"/>
                <w:caps w:val="0"/>
                <w:color w:val="000000"/>
                <w:spacing w:val="0"/>
                <w:sz w:val="24"/>
                <w:szCs w:val="24"/>
              </w:rPr>
              <w:t>1.5</w:t>
            </w:r>
          </w:p>
        </w:tc>
        <w:tc>
          <w:tcPr>
            <w:tcW w:w="122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after="210" w:afterAutospacing="0" w:line="27" w:lineRule="atLeast"/>
              <w:jc w:val="right"/>
              <w:rPr>
                <w:rFonts w:hint="default" w:ascii="Arial" w:hAnsi="Arial" w:cs="Arial"/>
                <w:sz w:val="24"/>
                <w:szCs w:val="24"/>
              </w:rPr>
            </w:pPr>
            <w:r>
              <w:rPr>
                <w:rFonts w:hint="default" w:ascii="Arial" w:hAnsi="Arial" w:cs="Arial"/>
                <w:b w:val="0"/>
                <w:i w:val="0"/>
                <w:caps w:val="0"/>
                <w:color w:val="000000"/>
                <w:spacing w:val="0"/>
                <w:sz w:val="24"/>
                <w:szCs w:val="24"/>
              </w:rPr>
              <w:t>5000</w:t>
            </w:r>
          </w:p>
        </w:tc>
        <w:tc>
          <w:tcPr>
            <w:tcW w:w="44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after="210" w:afterAutospacing="0" w:line="27" w:lineRule="atLeast"/>
              <w:jc w:val="left"/>
              <w:rPr>
                <w:rFonts w:hint="default" w:ascii="Arial" w:hAnsi="Arial" w:cs="Arial"/>
                <w:sz w:val="24"/>
                <w:szCs w:val="24"/>
              </w:rPr>
            </w:pPr>
            <w:r>
              <w:rPr>
                <w:rFonts w:hint="default" w:ascii="Arial" w:hAnsi="Arial" w:cs="Arial"/>
                <w:b w:val="0"/>
                <w:i w:val="0"/>
                <w:caps w:val="0"/>
                <w:color w:val="000000"/>
                <w:spacing w:val="0"/>
                <w:sz w:val="24"/>
                <w:szCs w:val="24"/>
              </w:rPr>
              <w:t>20＋(5000－1000)×1.5％＝80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6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after="210" w:afterAutospacing="0" w:line="27" w:lineRule="atLeast"/>
              <w:jc w:val="left"/>
              <w:rPr>
                <w:rFonts w:hint="default" w:ascii="Arial" w:hAnsi="Arial" w:cs="Arial"/>
                <w:sz w:val="24"/>
                <w:szCs w:val="24"/>
              </w:rPr>
            </w:pPr>
            <w:r>
              <w:rPr>
                <w:rFonts w:hint="default" w:ascii="Arial" w:hAnsi="Arial" w:cs="Arial"/>
                <w:b w:val="0"/>
                <w:i w:val="0"/>
                <w:caps w:val="0"/>
                <w:color w:val="000000"/>
                <w:spacing w:val="0"/>
                <w:sz w:val="24"/>
                <w:szCs w:val="24"/>
              </w:rPr>
              <w:t>5001－10000</w:t>
            </w:r>
          </w:p>
        </w:tc>
        <w:tc>
          <w:tcPr>
            <w:tcW w:w="10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after="210" w:afterAutospacing="0" w:line="27" w:lineRule="atLeast"/>
              <w:jc w:val="right"/>
              <w:rPr>
                <w:rFonts w:hint="default" w:ascii="Arial" w:hAnsi="Arial" w:cs="Arial"/>
                <w:sz w:val="24"/>
                <w:szCs w:val="24"/>
              </w:rPr>
            </w:pPr>
            <w:r>
              <w:rPr>
                <w:rFonts w:hint="default" w:ascii="Arial" w:hAnsi="Arial" w:cs="Arial"/>
                <w:b w:val="0"/>
                <w:i w:val="0"/>
                <w:caps w:val="0"/>
                <w:color w:val="000000"/>
                <w:spacing w:val="0"/>
                <w:sz w:val="24"/>
                <w:szCs w:val="24"/>
              </w:rPr>
              <w:t>1.2</w:t>
            </w:r>
          </w:p>
        </w:tc>
        <w:tc>
          <w:tcPr>
            <w:tcW w:w="122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after="210" w:afterAutospacing="0" w:line="27" w:lineRule="atLeast"/>
              <w:jc w:val="right"/>
              <w:rPr>
                <w:rFonts w:hint="default" w:ascii="Arial" w:hAnsi="Arial" w:cs="Arial"/>
                <w:sz w:val="24"/>
                <w:szCs w:val="24"/>
              </w:rPr>
            </w:pPr>
            <w:r>
              <w:rPr>
                <w:rFonts w:hint="default" w:ascii="Arial" w:hAnsi="Arial" w:cs="Arial"/>
                <w:b w:val="0"/>
                <w:i w:val="0"/>
                <w:caps w:val="0"/>
                <w:color w:val="000000"/>
                <w:spacing w:val="0"/>
                <w:sz w:val="24"/>
                <w:szCs w:val="24"/>
              </w:rPr>
              <w:t>10000</w:t>
            </w:r>
          </w:p>
        </w:tc>
        <w:tc>
          <w:tcPr>
            <w:tcW w:w="44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after="210" w:afterAutospacing="0" w:line="27" w:lineRule="atLeast"/>
              <w:jc w:val="left"/>
              <w:rPr>
                <w:rFonts w:hint="default" w:ascii="Arial" w:hAnsi="Arial" w:cs="Arial"/>
                <w:sz w:val="24"/>
                <w:szCs w:val="24"/>
              </w:rPr>
            </w:pPr>
            <w:r>
              <w:rPr>
                <w:rFonts w:hint="default" w:ascii="Arial" w:hAnsi="Arial" w:cs="Arial"/>
                <w:b w:val="0"/>
                <w:i w:val="0"/>
                <w:caps w:val="0"/>
                <w:color w:val="000000"/>
                <w:spacing w:val="0"/>
                <w:sz w:val="24"/>
                <w:szCs w:val="24"/>
              </w:rPr>
              <w:t>80＋(10000－5000)×1.2％＝140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6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after="210" w:afterAutospacing="0" w:line="27" w:lineRule="atLeast"/>
              <w:jc w:val="left"/>
              <w:rPr>
                <w:rFonts w:hint="default" w:ascii="Arial" w:hAnsi="Arial" w:cs="Arial"/>
                <w:sz w:val="24"/>
                <w:szCs w:val="24"/>
              </w:rPr>
            </w:pPr>
            <w:r>
              <w:rPr>
                <w:rFonts w:hint="default" w:ascii="Arial" w:hAnsi="Arial" w:cs="Arial"/>
                <w:b w:val="0"/>
                <w:i w:val="0"/>
                <w:caps w:val="0"/>
                <w:color w:val="000000"/>
                <w:spacing w:val="0"/>
                <w:sz w:val="24"/>
                <w:szCs w:val="24"/>
              </w:rPr>
              <w:t>10001－50000</w:t>
            </w:r>
          </w:p>
        </w:tc>
        <w:tc>
          <w:tcPr>
            <w:tcW w:w="10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after="210" w:afterAutospacing="0" w:line="27" w:lineRule="atLeast"/>
              <w:jc w:val="right"/>
              <w:rPr>
                <w:rFonts w:hint="default" w:ascii="Arial" w:hAnsi="Arial" w:cs="Arial"/>
                <w:sz w:val="24"/>
                <w:szCs w:val="24"/>
              </w:rPr>
            </w:pPr>
            <w:r>
              <w:rPr>
                <w:rFonts w:hint="default" w:ascii="Arial" w:hAnsi="Arial" w:cs="Arial"/>
                <w:b w:val="0"/>
                <w:i w:val="0"/>
                <w:caps w:val="0"/>
                <w:color w:val="000000"/>
                <w:spacing w:val="0"/>
                <w:sz w:val="24"/>
                <w:szCs w:val="24"/>
              </w:rPr>
              <w:t>1</w:t>
            </w:r>
          </w:p>
        </w:tc>
        <w:tc>
          <w:tcPr>
            <w:tcW w:w="122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after="210" w:afterAutospacing="0" w:line="27" w:lineRule="atLeast"/>
              <w:jc w:val="right"/>
              <w:rPr>
                <w:rFonts w:hint="default" w:ascii="Arial" w:hAnsi="Arial" w:cs="Arial"/>
                <w:sz w:val="24"/>
                <w:szCs w:val="24"/>
              </w:rPr>
            </w:pPr>
            <w:r>
              <w:rPr>
                <w:rFonts w:hint="default" w:ascii="Arial" w:hAnsi="Arial" w:cs="Arial"/>
                <w:b w:val="0"/>
                <w:i w:val="0"/>
                <w:caps w:val="0"/>
                <w:color w:val="000000"/>
                <w:spacing w:val="0"/>
                <w:sz w:val="24"/>
                <w:szCs w:val="24"/>
              </w:rPr>
              <w:t>50000</w:t>
            </w:r>
          </w:p>
        </w:tc>
        <w:tc>
          <w:tcPr>
            <w:tcW w:w="44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after="210" w:afterAutospacing="0" w:line="27" w:lineRule="atLeast"/>
              <w:jc w:val="left"/>
              <w:rPr>
                <w:rFonts w:hint="default" w:ascii="Arial" w:hAnsi="Arial" w:cs="Arial"/>
                <w:sz w:val="24"/>
                <w:szCs w:val="24"/>
              </w:rPr>
            </w:pPr>
            <w:r>
              <w:rPr>
                <w:rFonts w:hint="default" w:ascii="Arial" w:hAnsi="Arial" w:cs="Arial"/>
                <w:b w:val="0"/>
                <w:i w:val="0"/>
                <w:caps w:val="0"/>
                <w:color w:val="000000"/>
                <w:spacing w:val="0"/>
                <w:sz w:val="24"/>
                <w:szCs w:val="24"/>
              </w:rPr>
              <w:t>140＋(50000－10000)×1％＝540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6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after="210" w:afterAutospacing="0" w:line="27" w:lineRule="atLeast"/>
              <w:jc w:val="left"/>
              <w:rPr>
                <w:rFonts w:hint="default" w:ascii="Arial" w:hAnsi="Arial" w:cs="Arial"/>
                <w:sz w:val="24"/>
                <w:szCs w:val="24"/>
              </w:rPr>
            </w:pPr>
            <w:r>
              <w:rPr>
                <w:rFonts w:hint="default" w:ascii="Arial" w:hAnsi="Arial" w:cs="Arial"/>
                <w:b w:val="0"/>
                <w:i w:val="0"/>
                <w:caps w:val="0"/>
                <w:color w:val="000000"/>
                <w:spacing w:val="0"/>
                <w:sz w:val="24"/>
                <w:szCs w:val="24"/>
              </w:rPr>
              <w:t>50001－100000</w:t>
            </w:r>
          </w:p>
        </w:tc>
        <w:tc>
          <w:tcPr>
            <w:tcW w:w="10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after="210" w:afterAutospacing="0" w:line="27" w:lineRule="atLeast"/>
              <w:jc w:val="right"/>
              <w:rPr>
                <w:rFonts w:hint="default" w:ascii="Arial" w:hAnsi="Arial" w:cs="Arial"/>
                <w:sz w:val="24"/>
                <w:szCs w:val="24"/>
              </w:rPr>
            </w:pPr>
            <w:r>
              <w:rPr>
                <w:rFonts w:hint="default" w:ascii="Arial" w:hAnsi="Arial" w:cs="Arial"/>
                <w:b w:val="0"/>
                <w:i w:val="0"/>
                <w:caps w:val="0"/>
                <w:color w:val="000000"/>
                <w:spacing w:val="0"/>
                <w:sz w:val="24"/>
                <w:szCs w:val="24"/>
              </w:rPr>
              <w:t>0.8</w:t>
            </w:r>
          </w:p>
        </w:tc>
        <w:tc>
          <w:tcPr>
            <w:tcW w:w="122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after="210" w:afterAutospacing="0" w:line="27" w:lineRule="atLeast"/>
              <w:jc w:val="right"/>
              <w:rPr>
                <w:rFonts w:hint="default" w:ascii="Arial" w:hAnsi="Arial" w:cs="Arial"/>
                <w:sz w:val="24"/>
                <w:szCs w:val="24"/>
              </w:rPr>
            </w:pPr>
            <w:r>
              <w:rPr>
                <w:rFonts w:hint="default" w:ascii="Arial" w:hAnsi="Arial" w:cs="Arial"/>
                <w:b w:val="0"/>
                <w:i w:val="0"/>
                <w:caps w:val="0"/>
                <w:color w:val="000000"/>
                <w:spacing w:val="0"/>
                <w:sz w:val="24"/>
                <w:szCs w:val="24"/>
              </w:rPr>
              <w:t>100000</w:t>
            </w:r>
          </w:p>
        </w:tc>
        <w:tc>
          <w:tcPr>
            <w:tcW w:w="44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after="210" w:afterAutospacing="0" w:line="27" w:lineRule="atLeast"/>
              <w:jc w:val="left"/>
              <w:rPr>
                <w:rFonts w:hint="default" w:ascii="Arial" w:hAnsi="Arial" w:cs="Arial"/>
                <w:sz w:val="24"/>
                <w:szCs w:val="24"/>
              </w:rPr>
            </w:pPr>
            <w:r>
              <w:rPr>
                <w:rFonts w:hint="default" w:ascii="Arial" w:hAnsi="Arial" w:cs="Arial"/>
                <w:b w:val="0"/>
                <w:i w:val="0"/>
                <w:caps w:val="0"/>
                <w:color w:val="000000"/>
                <w:spacing w:val="0"/>
                <w:sz w:val="24"/>
                <w:szCs w:val="24"/>
              </w:rPr>
              <w:t>540＋(100000－50000)×0.8％＝940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6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after="210" w:afterAutospacing="0" w:line="27" w:lineRule="atLeast"/>
              <w:jc w:val="left"/>
              <w:rPr>
                <w:rFonts w:hint="default" w:ascii="Arial" w:hAnsi="Arial" w:cs="Arial"/>
                <w:sz w:val="24"/>
                <w:szCs w:val="24"/>
              </w:rPr>
            </w:pPr>
            <w:r>
              <w:rPr>
                <w:rFonts w:hint="default" w:ascii="Arial" w:hAnsi="Arial" w:cs="Arial"/>
                <w:b w:val="0"/>
                <w:i w:val="0"/>
                <w:caps w:val="0"/>
                <w:color w:val="000000"/>
                <w:spacing w:val="0"/>
                <w:sz w:val="24"/>
                <w:szCs w:val="24"/>
              </w:rPr>
              <w:t>100000以上</w:t>
            </w:r>
          </w:p>
        </w:tc>
        <w:tc>
          <w:tcPr>
            <w:tcW w:w="10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after="210" w:afterAutospacing="0" w:line="27" w:lineRule="atLeast"/>
              <w:jc w:val="right"/>
              <w:rPr>
                <w:rFonts w:hint="default" w:ascii="Arial" w:hAnsi="Arial" w:cs="Arial"/>
                <w:sz w:val="24"/>
                <w:szCs w:val="24"/>
              </w:rPr>
            </w:pPr>
            <w:r>
              <w:rPr>
                <w:rFonts w:hint="default" w:ascii="Arial" w:hAnsi="Arial" w:cs="Arial"/>
                <w:b w:val="0"/>
                <w:i w:val="0"/>
                <w:caps w:val="0"/>
                <w:color w:val="000000"/>
                <w:spacing w:val="0"/>
                <w:sz w:val="24"/>
                <w:szCs w:val="24"/>
              </w:rPr>
              <w:t>0.4</w:t>
            </w:r>
          </w:p>
        </w:tc>
        <w:tc>
          <w:tcPr>
            <w:tcW w:w="122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after="210" w:afterAutospacing="0" w:line="27" w:lineRule="atLeast"/>
              <w:jc w:val="right"/>
              <w:rPr>
                <w:rFonts w:hint="default" w:ascii="Arial" w:hAnsi="Arial" w:cs="Arial"/>
                <w:sz w:val="24"/>
                <w:szCs w:val="24"/>
              </w:rPr>
            </w:pPr>
            <w:r>
              <w:rPr>
                <w:rFonts w:hint="default" w:ascii="Arial" w:hAnsi="Arial" w:cs="Arial"/>
                <w:b w:val="0"/>
                <w:i w:val="0"/>
                <w:caps w:val="0"/>
                <w:color w:val="000000"/>
                <w:spacing w:val="0"/>
                <w:sz w:val="24"/>
                <w:szCs w:val="24"/>
              </w:rPr>
              <w:t>200000</w:t>
            </w:r>
          </w:p>
        </w:tc>
        <w:tc>
          <w:tcPr>
            <w:tcW w:w="44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after="210" w:afterAutospacing="0" w:line="27" w:lineRule="atLeast"/>
              <w:jc w:val="left"/>
              <w:rPr>
                <w:rFonts w:hint="default" w:ascii="Arial" w:hAnsi="Arial" w:cs="Arial"/>
                <w:sz w:val="24"/>
                <w:szCs w:val="24"/>
              </w:rPr>
            </w:pPr>
            <w:r>
              <w:rPr>
                <w:rFonts w:hint="default" w:ascii="Arial" w:hAnsi="Arial" w:cs="Arial"/>
                <w:b w:val="0"/>
                <w:i w:val="0"/>
                <w:caps w:val="0"/>
                <w:color w:val="000000"/>
                <w:spacing w:val="0"/>
                <w:sz w:val="24"/>
                <w:szCs w:val="24"/>
              </w:rPr>
              <w:t>940＋(200000－100000)×0.4％＝1340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4D1528"/>
    <w:rsid w:val="234D1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2017-11-15T02:23:00Z</dcterms:created>
  <dc:creator>Administrator</dc:creator>
  <cp:lastModifiedBy>Administrator</cp:lastModifiedBy>
  <dcterms:modified xsi:type="dcterms:W3CDTF">2017-11-15T02:26:39Z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